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522D" w:rsidRDefault="0035522D" w:rsidP="0035522D">
      <w:pPr>
        <w:pStyle w:val="Title"/>
        <w:jc w:val="center"/>
      </w:pPr>
      <w:bookmarkStart w:id="0" w:name="_Toc357771638"/>
      <w:bookmarkStart w:id="1" w:name="_Toc346793416"/>
      <w:bookmarkStart w:id="2" w:name="_Toc328122777"/>
      <w:r>
        <w:rPr>
          <w:noProof/>
          <w:lang w:eastAsia="en-GB"/>
        </w:rPr>
        <w:drawing>
          <wp:inline distT="0" distB="0" distL="0" distR="0" wp14:anchorId="473F337B" wp14:editId="5EA6D4FE">
            <wp:extent cx="501073" cy="6889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7" cstate="print">
                      <a:extLst>
                        <a:ext uri="{28A0092B-C50C-407E-A947-70E740481C1C}">
                          <a14:useLocalDpi xmlns:a14="http://schemas.microsoft.com/office/drawing/2010/main" val="0"/>
                        </a:ext>
                      </a:extLst>
                    </a:blip>
                    <a:stretch>
                      <a:fillRect/>
                    </a:stretch>
                  </pic:blipFill>
                  <pic:spPr>
                    <a:xfrm flipH="1">
                      <a:off x="0" y="0"/>
                      <a:ext cx="509575" cy="700665"/>
                    </a:xfrm>
                    <a:prstGeom prst="rect">
                      <a:avLst/>
                    </a:prstGeom>
                  </pic:spPr>
                </pic:pic>
              </a:graphicData>
            </a:graphic>
          </wp:inline>
        </w:drawing>
      </w:r>
    </w:p>
    <w:p w:rsidR="0035522D" w:rsidRPr="0035522D" w:rsidRDefault="0035522D" w:rsidP="0035522D">
      <w:pPr>
        <w:pStyle w:val="Title"/>
        <w:jc w:val="center"/>
      </w:pPr>
      <w:r w:rsidRPr="0035522D">
        <w:t>Range High School</w:t>
      </w:r>
    </w:p>
    <w:p w:rsidR="0035522D" w:rsidRDefault="0035522D" w:rsidP="0035522D">
      <w:pPr>
        <w:pStyle w:val="Title"/>
        <w:jc w:val="center"/>
      </w:pPr>
      <w:r w:rsidRPr="0035522D">
        <w:t>Catch Up Premium Strategy Statement</w:t>
      </w:r>
      <w:bookmarkStart w:id="3" w:name="_Toc385406061"/>
      <w:bookmarkEnd w:id="0"/>
      <w:bookmarkEnd w:id="1"/>
      <w:bookmarkEnd w:id="2"/>
    </w:p>
    <w:p w:rsidR="00FE40BA" w:rsidRPr="00FE40BA" w:rsidRDefault="00FE40BA" w:rsidP="00FE40BA">
      <w:pPr>
        <w:pStyle w:val="Heading1"/>
        <w:jc w:val="center"/>
      </w:pPr>
      <w:r>
        <w:t>2020-21</w:t>
      </w:r>
    </w:p>
    <w:p w:rsidR="0035522D" w:rsidRPr="0035522D" w:rsidRDefault="0035522D" w:rsidP="0035522D">
      <w:pPr>
        <w:pStyle w:val="Heading1"/>
      </w:pPr>
      <w:r w:rsidRPr="0035522D">
        <w:t>School overview</w:t>
      </w:r>
    </w:p>
    <w:tbl>
      <w:tblPr>
        <w:tblW w:w="9493" w:type="dxa"/>
        <w:tblCellMar>
          <w:left w:w="10" w:type="dxa"/>
          <w:right w:w="10" w:type="dxa"/>
        </w:tblCellMar>
        <w:tblLook w:val="04A0" w:firstRow="1" w:lastRow="0" w:firstColumn="1" w:lastColumn="0" w:noHBand="0" w:noVBand="1"/>
      </w:tblPr>
      <w:tblGrid>
        <w:gridCol w:w="4815"/>
        <w:gridCol w:w="4678"/>
      </w:tblGrid>
      <w:tr w:rsidR="0035522D" w:rsidRPr="0035522D" w:rsidTr="003623AC">
        <w:trPr>
          <w:trHeight w:val="381"/>
        </w:trPr>
        <w:tc>
          <w:tcPr>
            <w:tcW w:w="4815"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35522D" w:rsidRPr="0035522D" w:rsidRDefault="0035522D" w:rsidP="0035522D">
            <w:pPr>
              <w:rPr>
                <w:b/>
              </w:rPr>
            </w:pPr>
            <w:r w:rsidRPr="0035522D">
              <w:rPr>
                <w:b/>
              </w:rPr>
              <w:t>Metric</w:t>
            </w:r>
          </w:p>
        </w:tc>
        <w:tc>
          <w:tcPr>
            <w:tcW w:w="4678"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35522D" w:rsidRPr="0035522D" w:rsidRDefault="0035522D" w:rsidP="0035522D">
            <w:pPr>
              <w:rPr>
                <w:b/>
              </w:rPr>
            </w:pPr>
            <w:r w:rsidRPr="0035522D">
              <w:rPr>
                <w:b/>
              </w:rPr>
              <w:t>Data</w:t>
            </w:r>
          </w:p>
        </w:tc>
      </w:tr>
      <w:tr w:rsidR="0035522D" w:rsidRPr="0035522D" w:rsidTr="003623AC">
        <w:trPr>
          <w:trHeight w:val="381"/>
        </w:trPr>
        <w:tc>
          <w:tcPr>
            <w:tcW w:w="4815"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35522D" w:rsidRPr="0035522D" w:rsidRDefault="0035522D" w:rsidP="0035522D">
            <w:r w:rsidRPr="0035522D">
              <w:t xml:space="preserve"> School name</w:t>
            </w:r>
          </w:p>
        </w:tc>
        <w:tc>
          <w:tcPr>
            <w:tcW w:w="4678"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35522D" w:rsidRPr="0035522D" w:rsidRDefault="0035522D" w:rsidP="0035522D">
            <w:r w:rsidRPr="0035522D">
              <w:t>Range High School</w:t>
            </w:r>
          </w:p>
        </w:tc>
      </w:tr>
      <w:tr w:rsidR="0035522D" w:rsidRPr="0035522D" w:rsidTr="003623AC">
        <w:trPr>
          <w:trHeight w:val="381"/>
        </w:trPr>
        <w:tc>
          <w:tcPr>
            <w:tcW w:w="4815"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35522D" w:rsidRPr="0035522D" w:rsidRDefault="0035522D" w:rsidP="0035522D">
            <w:r w:rsidRPr="0035522D">
              <w:t>Pupils in school</w:t>
            </w:r>
          </w:p>
        </w:tc>
        <w:tc>
          <w:tcPr>
            <w:tcW w:w="4678"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A07A81" w:rsidRDefault="00A07A81" w:rsidP="0035522D">
            <w:r>
              <w:t xml:space="preserve">KS3/4: 913 </w:t>
            </w:r>
          </w:p>
          <w:p w:rsidR="0035522D" w:rsidRPr="0035522D" w:rsidRDefault="00A07A81" w:rsidP="0035522D">
            <w:r>
              <w:t>KS5: 168</w:t>
            </w:r>
          </w:p>
        </w:tc>
      </w:tr>
      <w:tr w:rsidR="0035522D" w:rsidRPr="0035522D" w:rsidTr="003623AC">
        <w:trPr>
          <w:trHeight w:val="381"/>
        </w:trPr>
        <w:tc>
          <w:tcPr>
            <w:tcW w:w="4815"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35522D" w:rsidRPr="0035522D" w:rsidRDefault="0035522D" w:rsidP="0035522D">
            <w:r w:rsidRPr="0035522D">
              <w:t>Catch Up Premium allocation this academic year</w:t>
            </w:r>
          </w:p>
        </w:tc>
        <w:tc>
          <w:tcPr>
            <w:tcW w:w="4678"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35522D" w:rsidRPr="0035522D" w:rsidRDefault="00A07A81" w:rsidP="0035522D">
            <w:r>
              <w:t>£73,000</w:t>
            </w:r>
          </w:p>
        </w:tc>
      </w:tr>
      <w:tr w:rsidR="0035522D" w:rsidRPr="0035522D" w:rsidTr="003623AC">
        <w:trPr>
          <w:trHeight w:val="381"/>
        </w:trPr>
        <w:tc>
          <w:tcPr>
            <w:tcW w:w="4815"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35522D" w:rsidRPr="0035522D" w:rsidRDefault="0035522D" w:rsidP="0035522D">
            <w:r w:rsidRPr="0035522D">
              <w:t>Academic year or years covered by statement</w:t>
            </w:r>
          </w:p>
        </w:tc>
        <w:tc>
          <w:tcPr>
            <w:tcW w:w="4678"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35522D" w:rsidRPr="0035522D" w:rsidRDefault="0035522D" w:rsidP="0035522D">
            <w:r w:rsidRPr="0035522D">
              <w:t>2020/21</w:t>
            </w:r>
          </w:p>
        </w:tc>
      </w:tr>
      <w:tr w:rsidR="0035522D" w:rsidRPr="0035522D" w:rsidTr="003623AC">
        <w:trPr>
          <w:trHeight w:val="381"/>
        </w:trPr>
        <w:tc>
          <w:tcPr>
            <w:tcW w:w="4815"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35522D" w:rsidRPr="0035522D" w:rsidRDefault="0035522D" w:rsidP="0035522D">
            <w:r w:rsidRPr="0035522D">
              <w:t>Publish date</w:t>
            </w:r>
          </w:p>
        </w:tc>
        <w:tc>
          <w:tcPr>
            <w:tcW w:w="4678"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35522D" w:rsidRPr="0035522D" w:rsidRDefault="0035522D" w:rsidP="0035522D">
            <w:r w:rsidRPr="0035522D">
              <w:t>May 2020</w:t>
            </w:r>
          </w:p>
        </w:tc>
      </w:tr>
      <w:tr w:rsidR="0035522D" w:rsidRPr="0035522D" w:rsidTr="003623AC">
        <w:trPr>
          <w:trHeight w:val="381"/>
        </w:trPr>
        <w:tc>
          <w:tcPr>
            <w:tcW w:w="4815"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35522D" w:rsidRPr="0035522D" w:rsidRDefault="0035522D" w:rsidP="0035522D">
            <w:r w:rsidRPr="0035522D">
              <w:t>Review date</w:t>
            </w:r>
          </w:p>
        </w:tc>
        <w:tc>
          <w:tcPr>
            <w:tcW w:w="4678"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35522D" w:rsidRPr="0035522D" w:rsidRDefault="0035522D" w:rsidP="0035522D">
            <w:r w:rsidRPr="0035522D">
              <w:t>July 2021</w:t>
            </w:r>
          </w:p>
        </w:tc>
      </w:tr>
    </w:tbl>
    <w:p w:rsidR="0035522D" w:rsidRPr="0035522D" w:rsidRDefault="0035522D" w:rsidP="0035522D">
      <w:pPr>
        <w:pStyle w:val="Heading1"/>
      </w:pPr>
      <w:r w:rsidRPr="0035522D">
        <w:t xml:space="preserve">What is the Catch </w:t>
      </w:r>
      <w:proofErr w:type="gramStart"/>
      <w:r w:rsidRPr="0035522D">
        <w:t>Up</w:t>
      </w:r>
      <w:proofErr w:type="gramEnd"/>
      <w:r w:rsidRPr="0035522D">
        <w:t xml:space="preserve"> Premium?</w:t>
      </w:r>
    </w:p>
    <w:p w:rsidR="0035522D" w:rsidRPr="0035522D" w:rsidRDefault="0035522D" w:rsidP="0035522D">
      <w:r w:rsidRPr="0035522D">
        <w:t>In the summer of 2020 the Department of Education (</w:t>
      </w:r>
      <w:proofErr w:type="spellStart"/>
      <w:r w:rsidRPr="0035522D">
        <w:t>DfE</w:t>
      </w:r>
      <w:proofErr w:type="spellEnd"/>
      <w:r w:rsidRPr="0035522D">
        <w:t>) announced a ‘catch-up fund’ aimed at supporting all schools across the country to help young people get their education back on track. Here at Range, we have recently secured our share of this funding and are now planning how we will use this extra resource to work with a wide group of students as they progress through the year. We are obviously guided by DFE guidance:</w:t>
      </w:r>
    </w:p>
    <w:p w:rsidR="0035522D" w:rsidRPr="0035522D" w:rsidRDefault="0035522D" w:rsidP="0035522D">
      <w:r w:rsidRPr="0035522D">
        <w:t>“Schools should use this funding for specific activities to support their pupils to catch up for lost teaching over the previous months, in line with the guidance on curriculum expectations for the next academic year.</w:t>
      </w:r>
    </w:p>
    <w:p w:rsidR="0035522D" w:rsidRPr="0035522D" w:rsidRDefault="0035522D" w:rsidP="0035522D">
      <w:r w:rsidRPr="0035522D">
        <w:t>Schools have the flexibility to spend their funding in the best way for their cohort and circumstances.”</w:t>
      </w:r>
    </w:p>
    <w:p w:rsidR="0035522D" w:rsidRPr="0035522D" w:rsidRDefault="0035522D" w:rsidP="0035522D">
      <w:r w:rsidRPr="0035522D">
        <w:t>We will also be guided by the principles laid out in a report published by the Education Endowment Foundation (EEF) where good practice is highlighted as to best maximise the use of the extra resource.</w:t>
      </w:r>
    </w:p>
    <w:p w:rsidR="0035522D" w:rsidRPr="0035522D" w:rsidRDefault="0035522D" w:rsidP="0035522D">
      <w:r w:rsidRPr="0035522D">
        <w:t>We have also been allocated a small amount of money to provide some additional support to students in the Sixth Form. We will combine these resources to ensure all of our students who need support have the chance to access it accordingly.</w:t>
      </w:r>
    </w:p>
    <w:p w:rsidR="0035522D" w:rsidRPr="0035522D" w:rsidRDefault="0035522D" w:rsidP="0035522D">
      <w:pPr>
        <w:rPr>
          <w:b/>
        </w:rPr>
      </w:pPr>
      <w:r w:rsidRPr="0035522D">
        <w:br w:type="page"/>
      </w:r>
    </w:p>
    <w:p w:rsidR="0035522D" w:rsidRPr="0035522D" w:rsidRDefault="00A07A81" w:rsidP="0035522D">
      <w:pPr>
        <w:pStyle w:val="Heading1"/>
      </w:pPr>
      <w:r>
        <w:lastRenderedPageBreak/>
        <w:t xml:space="preserve">Range High Catch </w:t>
      </w:r>
      <w:proofErr w:type="gramStart"/>
      <w:r>
        <w:t>Up</w:t>
      </w:r>
      <w:proofErr w:type="gramEnd"/>
      <w:r>
        <w:t xml:space="preserve"> Priorities</w:t>
      </w:r>
    </w:p>
    <w:bookmarkEnd w:id="3"/>
    <w:p w:rsidR="00A07A81" w:rsidRPr="00A07A81" w:rsidRDefault="00A07A81" w:rsidP="00A07A81">
      <w:r w:rsidRPr="00A07A81">
        <w:t>Issues identified from September 2020 as barriers to learning (e.g. curriculum gaps / literacy / attendance / wellbeing)</w:t>
      </w:r>
    </w:p>
    <w:p w:rsidR="00A07A81" w:rsidRPr="00A07A81" w:rsidRDefault="00A07A81" w:rsidP="00A07A81">
      <w:r w:rsidRPr="00A07A81">
        <w:t>B1: Literacy skills (reading ages are above national average in all year groups but tutor reading has not been taking place to the full extent since March 2020)</w:t>
      </w:r>
    </w:p>
    <w:p w:rsidR="00A07A81" w:rsidRPr="00A07A81" w:rsidRDefault="00A07A81" w:rsidP="00A07A81">
      <w:r w:rsidRPr="00A07A81">
        <w:t>B2: Gaps in curriculum as identified by each Head of Department</w:t>
      </w:r>
    </w:p>
    <w:p w:rsidR="00A07A81" w:rsidRPr="00A07A81" w:rsidRDefault="00A07A81" w:rsidP="00A07A81">
      <w:r w:rsidRPr="00A07A81">
        <w:t>B3: Readying the school for further home learning needs (E.g. a second lockdown)</w:t>
      </w:r>
    </w:p>
    <w:p w:rsidR="00A07A81" w:rsidRPr="00A07A81" w:rsidRDefault="00A07A81" w:rsidP="00A07A81">
      <w:r w:rsidRPr="00A07A81">
        <w:t>B4: Ensuring all students can access online learning at home</w:t>
      </w:r>
    </w:p>
    <w:p w:rsidR="00A07A81" w:rsidRPr="00A07A81" w:rsidRDefault="00A07A81" w:rsidP="00A07A81">
      <w:r w:rsidRPr="00A07A81">
        <w:t>B5: Gaps in knowledge that have appeared between March and July 2020 (as identified through assessment in Term 1</w:t>
      </w:r>
    </w:p>
    <w:p w:rsidR="00A07A81" w:rsidRPr="00A07A81" w:rsidRDefault="00A07A81" w:rsidP="00A07A81">
      <w:r w:rsidRPr="00A07A81">
        <w:t>B6: Ensuring our SEND students are making social, emotional and academic progress following the lockdown period</w:t>
      </w:r>
    </w:p>
    <w:p w:rsidR="00A07A81" w:rsidRPr="00A07A81" w:rsidRDefault="00A07A81" w:rsidP="00A07A81">
      <w:r w:rsidRPr="00A07A81">
        <w:t>B7: Understanding T&amp;L strategies within the ‘new normal’ way of teaching</w:t>
      </w:r>
    </w:p>
    <w:p w:rsidR="00A07A81" w:rsidRPr="00A07A81" w:rsidRDefault="00A07A81" w:rsidP="00A07A81">
      <w:r w:rsidRPr="00A07A81">
        <w:t>B8: Gaps in ‘careers and further education’ advice and guidance</w:t>
      </w:r>
    </w:p>
    <w:p w:rsidR="00A07A81" w:rsidRPr="00A07A81" w:rsidRDefault="00A07A81" w:rsidP="00A07A81">
      <w:r w:rsidRPr="00A07A81">
        <w:t xml:space="preserve">B9: Understanding the ability of our </w:t>
      </w:r>
      <w:proofErr w:type="gramStart"/>
      <w:r w:rsidRPr="00A07A81">
        <w:t>new</w:t>
      </w:r>
      <w:proofErr w:type="gramEnd"/>
      <w:r w:rsidRPr="00A07A81">
        <w:t xml:space="preserve"> Year 7 intake without SATS scores</w:t>
      </w:r>
    </w:p>
    <w:p w:rsidR="00A07A81" w:rsidRPr="00A07A81" w:rsidRDefault="00A07A81" w:rsidP="00A07A81">
      <w:r w:rsidRPr="00A07A81">
        <w:t>B10: Maintaining a high attendance % for all students is a priority</w:t>
      </w:r>
    </w:p>
    <w:p w:rsidR="00A07A81" w:rsidRPr="00A07A81" w:rsidRDefault="00A07A81" w:rsidP="00A07A81">
      <w:r w:rsidRPr="00A07A81">
        <w:t>B11: Wellbeing: Students adjusting to the new school routines and structures</w:t>
      </w:r>
    </w:p>
    <w:p w:rsidR="00A07A81" w:rsidRPr="00A07A81" w:rsidRDefault="00A07A81" w:rsidP="00A07A81">
      <w:r w:rsidRPr="00A07A81">
        <w:t>B12: Wellbeing: Concerns around anxiety and safeguarding issues following the lockdown period</w:t>
      </w:r>
    </w:p>
    <w:p w:rsidR="00A07A81" w:rsidRPr="00A07A81" w:rsidRDefault="00A07A81" w:rsidP="00A07A81">
      <w:r w:rsidRPr="00A07A81">
        <w:t>B13: Ensuring parental engagement levels are maintained during the ‘virtual meeting’ era</w:t>
      </w:r>
    </w:p>
    <w:p w:rsidR="0035522D" w:rsidRDefault="00A07A81" w:rsidP="00A07A81">
      <w:pPr>
        <w:rPr>
          <w:b/>
        </w:rPr>
      </w:pPr>
      <w:r w:rsidRPr="00A07A81">
        <w:t>B14: The new plans for the school day create a number of logistical difficulties which could hamper high quality teaching and learning if we are not careful</w:t>
      </w:r>
    </w:p>
    <w:p w:rsidR="0035522D" w:rsidRDefault="0035522D" w:rsidP="0035522D">
      <w:pPr>
        <w:pStyle w:val="Heading1"/>
      </w:pPr>
      <w:r>
        <w:t>Curriculum Recovery Plan</w:t>
      </w:r>
    </w:p>
    <w:p w:rsidR="0035522D" w:rsidRDefault="0035522D" w:rsidP="0035522D">
      <w:r w:rsidRPr="00DE502B">
        <w:t>The E</w:t>
      </w:r>
      <w:r w:rsidR="00A07A81">
        <w:t>EF guidance suggests a 3-tiered</w:t>
      </w:r>
      <w:r w:rsidRPr="00DE502B">
        <w:t xml:space="preserve"> approach:</w:t>
      </w:r>
    </w:p>
    <w:p w:rsidR="0035522D" w:rsidRPr="0035522D" w:rsidRDefault="0035522D" w:rsidP="0035522D">
      <w:pPr>
        <w:pStyle w:val="Heading2"/>
      </w:pPr>
      <w:r w:rsidRPr="00DE502B">
        <w:t>1</w:t>
      </w:r>
      <w:r>
        <w:t>.</w:t>
      </w:r>
      <w:r w:rsidRPr="00DE502B">
        <w:t xml:space="preserve"> Teaching </w:t>
      </w:r>
    </w:p>
    <w:tbl>
      <w:tblPr>
        <w:tblStyle w:val="TableGrid"/>
        <w:tblW w:w="9493" w:type="dxa"/>
        <w:tblLook w:val="04A0" w:firstRow="1" w:lastRow="0" w:firstColumn="1" w:lastColumn="0" w:noHBand="0" w:noVBand="1"/>
      </w:tblPr>
      <w:tblGrid>
        <w:gridCol w:w="3539"/>
        <w:gridCol w:w="2977"/>
        <w:gridCol w:w="2977"/>
      </w:tblGrid>
      <w:tr w:rsidR="005006ED" w:rsidRPr="0035522D" w:rsidTr="005006ED">
        <w:trPr>
          <w:trHeight w:val="381"/>
        </w:trPr>
        <w:tc>
          <w:tcPr>
            <w:tcW w:w="3539" w:type="dxa"/>
          </w:tcPr>
          <w:p w:rsidR="005006ED" w:rsidRPr="0035522D" w:rsidRDefault="005006ED" w:rsidP="0035522D">
            <w:pPr>
              <w:spacing w:after="160" w:line="259" w:lineRule="auto"/>
            </w:pPr>
            <w:r w:rsidRPr="0035522D">
              <w:rPr>
                <w:b/>
              </w:rPr>
              <w:t>Measure</w:t>
            </w:r>
          </w:p>
        </w:tc>
        <w:tc>
          <w:tcPr>
            <w:tcW w:w="2977" w:type="dxa"/>
          </w:tcPr>
          <w:p w:rsidR="005006ED" w:rsidRPr="0035522D" w:rsidRDefault="005006ED" w:rsidP="0035522D">
            <w:pPr>
              <w:rPr>
                <w:b/>
              </w:rPr>
            </w:pPr>
            <w:r w:rsidRPr="0035522D">
              <w:rPr>
                <w:b/>
              </w:rPr>
              <w:t>Activity</w:t>
            </w:r>
          </w:p>
        </w:tc>
        <w:tc>
          <w:tcPr>
            <w:tcW w:w="2977" w:type="dxa"/>
          </w:tcPr>
          <w:p w:rsidR="005006ED" w:rsidRPr="0035522D" w:rsidRDefault="005006ED" w:rsidP="0035522D">
            <w:pPr>
              <w:spacing w:after="160" w:line="259" w:lineRule="auto"/>
              <w:rPr>
                <w:b/>
              </w:rPr>
            </w:pPr>
            <w:r w:rsidRPr="005006ED">
              <w:rPr>
                <w:b/>
              </w:rPr>
              <w:t>Further Details</w:t>
            </w:r>
          </w:p>
        </w:tc>
      </w:tr>
      <w:tr w:rsidR="005006ED" w:rsidRPr="0035522D" w:rsidTr="005006ED">
        <w:trPr>
          <w:trHeight w:val="381"/>
        </w:trPr>
        <w:tc>
          <w:tcPr>
            <w:tcW w:w="3539" w:type="dxa"/>
          </w:tcPr>
          <w:p w:rsidR="005006ED" w:rsidRPr="00BF03FF" w:rsidRDefault="005006ED" w:rsidP="0035522D">
            <w:r w:rsidRPr="00BF03FF">
              <w:t xml:space="preserve">High-quality teaching for all </w:t>
            </w:r>
          </w:p>
        </w:tc>
        <w:tc>
          <w:tcPr>
            <w:tcW w:w="2977" w:type="dxa"/>
          </w:tcPr>
          <w:p w:rsidR="005006ED" w:rsidRDefault="006678A1" w:rsidP="0035522D">
            <w:r>
              <w:t>Purchase of targeted revision resources for KS4 students.</w:t>
            </w:r>
          </w:p>
          <w:p w:rsidR="008E0DF2" w:rsidRDefault="008E0DF2" w:rsidP="0035522D"/>
          <w:p w:rsidR="008E0DF2" w:rsidRDefault="008E0DF2" w:rsidP="0035522D"/>
          <w:p w:rsidR="008E0DF2" w:rsidRDefault="008E0DF2" w:rsidP="0035522D"/>
          <w:p w:rsidR="008E0DF2" w:rsidRDefault="008E0DF2" w:rsidP="0035522D">
            <w:r>
              <w:t>‘Activity 5’ programme of faculty/subject activities to address curricular gaps</w:t>
            </w:r>
          </w:p>
          <w:p w:rsidR="008E0DF2" w:rsidRDefault="008E0DF2" w:rsidP="0035522D"/>
          <w:p w:rsidR="008E0DF2" w:rsidRDefault="008E0DF2" w:rsidP="0035522D">
            <w:r>
              <w:t>Additional funding for PE activities and staffing</w:t>
            </w:r>
          </w:p>
          <w:p w:rsidR="00E706C1" w:rsidRDefault="00E706C1" w:rsidP="0035522D"/>
          <w:p w:rsidR="00E706C1" w:rsidRDefault="00E706C1" w:rsidP="0035522D">
            <w:r>
              <w:t>Whole school programme addressing literacy gaps</w:t>
            </w:r>
          </w:p>
          <w:p w:rsidR="008E0DF2" w:rsidRPr="0035522D" w:rsidRDefault="008E0DF2" w:rsidP="0035522D"/>
        </w:tc>
        <w:tc>
          <w:tcPr>
            <w:tcW w:w="2977" w:type="dxa"/>
          </w:tcPr>
          <w:p w:rsidR="005006ED" w:rsidRDefault="006678A1" w:rsidP="0035522D">
            <w:pPr>
              <w:spacing w:after="160" w:line="259" w:lineRule="auto"/>
            </w:pPr>
            <w:r>
              <w:t xml:space="preserve">Resources targeted at identified gaps with </w:t>
            </w:r>
            <w:proofErr w:type="spellStart"/>
            <w:r>
              <w:t>scaffolded</w:t>
            </w:r>
            <w:proofErr w:type="spellEnd"/>
            <w:r>
              <w:t xml:space="preserve"> revision </w:t>
            </w:r>
            <w:proofErr w:type="spellStart"/>
            <w:r>
              <w:t>acivities</w:t>
            </w:r>
            <w:proofErr w:type="spellEnd"/>
            <w:r>
              <w:t xml:space="preserve"> </w:t>
            </w:r>
            <w:r w:rsidR="002424F8">
              <w:t>–</w:t>
            </w:r>
            <w:r>
              <w:t xml:space="preserve"> </w:t>
            </w:r>
            <w:r w:rsidR="002424F8">
              <w:t>Flash Cards, Revision Guides</w:t>
            </w:r>
          </w:p>
          <w:p w:rsidR="008E0DF2" w:rsidRDefault="008E0DF2" w:rsidP="008E0DF2">
            <w:pPr>
              <w:spacing w:after="160" w:line="259" w:lineRule="auto"/>
            </w:pPr>
            <w:r>
              <w:t xml:space="preserve">Bespoke activities including </w:t>
            </w:r>
            <w:proofErr w:type="spellStart"/>
            <w:r>
              <w:t>etextbooks</w:t>
            </w:r>
            <w:proofErr w:type="spellEnd"/>
            <w:r>
              <w:t xml:space="preserve">, </w:t>
            </w:r>
            <w:proofErr w:type="spellStart"/>
            <w:r>
              <w:t>visualisers</w:t>
            </w:r>
            <w:proofErr w:type="spellEnd"/>
            <w:r>
              <w:t>, software and subscriptions.</w:t>
            </w:r>
          </w:p>
          <w:p w:rsidR="008E0DF2" w:rsidRDefault="008E0DF2" w:rsidP="008E0DF2">
            <w:pPr>
              <w:spacing w:after="160" w:line="259" w:lineRule="auto"/>
            </w:pPr>
            <w:r>
              <w:t>Netball sessions after school, funding for rock climbing.</w:t>
            </w:r>
          </w:p>
          <w:p w:rsidR="00E706C1" w:rsidRPr="0035522D" w:rsidRDefault="00E706C1" w:rsidP="008E0DF2">
            <w:pPr>
              <w:spacing w:after="160" w:line="259" w:lineRule="auto"/>
            </w:pPr>
            <w:r>
              <w:t xml:space="preserve">Accelerated Reader programme, Reading Challenge, Boy’s Reading </w:t>
            </w:r>
            <w:r>
              <w:lastRenderedPageBreak/>
              <w:t>strategies, FT Reading programme</w:t>
            </w:r>
          </w:p>
        </w:tc>
      </w:tr>
      <w:tr w:rsidR="005006ED" w:rsidRPr="0035522D" w:rsidTr="005006ED">
        <w:trPr>
          <w:trHeight w:val="381"/>
        </w:trPr>
        <w:tc>
          <w:tcPr>
            <w:tcW w:w="3539" w:type="dxa"/>
          </w:tcPr>
          <w:p w:rsidR="005006ED" w:rsidRPr="00BF03FF" w:rsidRDefault="005006ED" w:rsidP="0035522D">
            <w:r w:rsidRPr="00BF03FF">
              <w:lastRenderedPageBreak/>
              <w:t xml:space="preserve">Effective diagnostic assessment </w:t>
            </w:r>
          </w:p>
        </w:tc>
        <w:tc>
          <w:tcPr>
            <w:tcW w:w="2977" w:type="dxa"/>
          </w:tcPr>
          <w:p w:rsidR="005006ED" w:rsidRDefault="002424F8" w:rsidP="002424F8">
            <w:r w:rsidRPr="00EA425F">
              <w:rPr>
                <w:b/>
              </w:rPr>
              <w:t>Purchase of software licences</w:t>
            </w:r>
            <w:r>
              <w:t xml:space="preserve"> to support diagnostic low-stakes assessment on return from lockdown.</w:t>
            </w:r>
          </w:p>
          <w:p w:rsidR="002424F8" w:rsidRPr="0035522D" w:rsidRDefault="002424F8" w:rsidP="002424F8"/>
        </w:tc>
        <w:tc>
          <w:tcPr>
            <w:tcW w:w="2977" w:type="dxa"/>
          </w:tcPr>
          <w:p w:rsidR="002424F8" w:rsidRDefault="002424F8" w:rsidP="002424F8">
            <w:r>
              <w:t xml:space="preserve">GCSE Pod, Meraki, Times Tables </w:t>
            </w:r>
            <w:proofErr w:type="spellStart"/>
            <w:r>
              <w:t>Rockstars</w:t>
            </w:r>
            <w:proofErr w:type="spellEnd"/>
            <w:r>
              <w:t xml:space="preserve">, </w:t>
            </w:r>
            <w:proofErr w:type="spellStart"/>
            <w:r>
              <w:t>Hegarty</w:t>
            </w:r>
            <w:proofErr w:type="spellEnd"/>
            <w:r>
              <w:t xml:space="preserve"> Maths, </w:t>
            </w:r>
            <w:proofErr w:type="spellStart"/>
            <w:r>
              <w:t>BookBuzz</w:t>
            </w:r>
            <w:proofErr w:type="spellEnd"/>
            <w:r>
              <w:t>, This is Language</w:t>
            </w:r>
          </w:p>
          <w:p w:rsidR="005006ED" w:rsidRPr="0035522D" w:rsidRDefault="005006ED" w:rsidP="0035522D">
            <w:pPr>
              <w:spacing w:after="160" w:line="259" w:lineRule="auto"/>
            </w:pPr>
          </w:p>
        </w:tc>
      </w:tr>
      <w:tr w:rsidR="005006ED" w:rsidRPr="0035522D" w:rsidTr="005006ED">
        <w:trPr>
          <w:trHeight w:val="381"/>
        </w:trPr>
        <w:tc>
          <w:tcPr>
            <w:tcW w:w="3539" w:type="dxa"/>
          </w:tcPr>
          <w:p w:rsidR="005006ED" w:rsidRPr="00BF03FF" w:rsidRDefault="005006ED" w:rsidP="0035522D">
            <w:r w:rsidRPr="00BF03FF">
              <w:t xml:space="preserve">Supporting remote learning </w:t>
            </w:r>
          </w:p>
        </w:tc>
        <w:tc>
          <w:tcPr>
            <w:tcW w:w="2977" w:type="dxa"/>
          </w:tcPr>
          <w:p w:rsidR="00EA425F" w:rsidRDefault="00EA425F" w:rsidP="0035522D">
            <w:r w:rsidRPr="00EA425F">
              <w:rPr>
                <w:b/>
              </w:rPr>
              <w:t>Extension of wireless network</w:t>
            </w:r>
            <w:r>
              <w:t xml:space="preserve"> to Year 7/10 bubble area.</w:t>
            </w:r>
          </w:p>
          <w:p w:rsidR="00EA425F" w:rsidRDefault="00EA425F" w:rsidP="0035522D"/>
          <w:p w:rsidR="00EA425F" w:rsidRDefault="00EA425F" w:rsidP="0035522D"/>
          <w:p w:rsidR="00EA425F" w:rsidRDefault="00EA425F" w:rsidP="0035522D">
            <w:pPr>
              <w:rPr>
                <w:b/>
              </w:rPr>
            </w:pPr>
          </w:p>
          <w:p w:rsidR="00EA425F" w:rsidRDefault="00EA425F" w:rsidP="0035522D">
            <w:r w:rsidRPr="00EA425F">
              <w:rPr>
                <w:b/>
              </w:rPr>
              <w:t>Purchase of software licences</w:t>
            </w:r>
            <w:r>
              <w:t xml:space="preserve"> to support catch up curriculum.</w:t>
            </w:r>
          </w:p>
          <w:p w:rsidR="00147163" w:rsidRDefault="00147163" w:rsidP="0035522D"/>
          <w:p w:rsidR="006678A1" w:rsidRDefault="006678A1" w:rsidP="0035522D"/>
          <w:p w:rsidR="00E706C1" w:rsidRDefault="00E706C1" w:rsidP="0035522D"/>
          <w:p w:rsidR="00147163" w:rsidRDefault="00147163" w:rsidP="0035522D">
            <w:r>
              <w:t xml:space="preserve">Purchase of </w:t>
            </w:r>
            <w:proofErr w:type="spellStart"/>
            <w:r>
              <w:t>visualisers</w:t>
            </w:r>
            <w:proofErr w:type="spellEnd"/>
            <w:r>
              <w:t xml:space="preserve"> to aid </w:t>
            </w:r>
            <w:proofErr w:type="spellStart"/>
            <w:r>
              <w:t>AfL</w:t>
            </w:r>
            <w:proofErr w:type="spellEnd"/>
          </w:p>
          <w:p w:rsidR="00EA425F" w:rsidRDefault="00EA425F" w:rsidP="0035522D"/>
          <w:p w:rsidR="005006ED" w:rsidRPr="0035522D" w:rsidRDefault="005006ED" w:rsidP="0035522D"/>
        </w:tc>
        <w:tc>
          <w:tcPr>
            <w:tcW w:w="2977" w:type="dxa"/>
          </w:tcPr>
          <w:p w:rsidR="005006ED" w:rsidRDefault="00EA425F" w:rsidP="0035522D">
            <w:r>
              <w:t>Enabling Year 7/10 access to Chromebooks for ICT and Catch Up activities in their bubble.</w:t>
            </w:r>
          </w:p>
          <w:p w:rsidR="00EA425F" w:rsidRDefault="00EA425F" w:rsidP="0035522D"/>
          <w:p w:rsidR="00EA425F" w:rsidRDefault="006678A1" w:rsidP="0035522D">
            <w:r>
              <w:t xml:space="preserve">GCSE Pod, </w:t>
            </w:r>
            <w:r w:rsidR="00147163">
              <w:t xml:space="preserve">Meraki, Times Tables </w:t>
            </w:r>
            <w:proofErr w:type="spellStart"/>
            <w:r w:rsidR="00147163">
              <w:t>Rockstars</w:t>
            </w:r>
            <w:proofErr w:type="spellEnd"/>
            <w:r w:rsidR="00147163">
              <w:t xml:space="preserve">, </w:t>
            </w:r>
            <w:proofErr w:type="spellStart"/>
            <w:r w:rsidR="00147163">
              <w:t>Hegarty</w:t>
            </w:r>
            <w:proofErr w:type="spellEnd"/>
            <w:r w:rsidR="00147163">
              <w:t xml:space="preserve"> Maths, </w:t>
            </w:r>
            <w:proofErr w:type="spellStart"/>
            <w:r w:rsidR="00147163">
              <w:t>BookBuzz</w:t>
            </w:r>
            <w:proofErr w:type="spellEnd"/>
            <w:r w:rsidR="00147163">
              <w:t>, This is Language</w:t>
            </w:r>
            <w:r w:rsidR="00E706C1">
              <w:t xml:space="preserve">, </w:t>
            </w:r>
            <w:proofErr w:type="spellStart"/>
            <w:r w:rsidR="00E706C1">
              <w:t>eTextbooks</w:t>
            </w:r>
            <w:proofErr w:type="spellEnd"/>
            <w:r w:rsidR="00E706C1">
              <w:t xml:space="preserve">, </w:t>
            </w:r>
            <w:proofErr w:type="spellStart"/>
            <w:r w:rsidR="00E706C1">
              <w:t>exampro</w:t>
            </w:r>
            <w:proofErr w:type="spellEnd"/>
          </w:p>
          <w:p w:rsidR="00147163" w:rsidRDefault="00147163" w:rsidP="0035522D"/>
          <w:p w:rsidR="00147163" w:rsidRPr="0035522D" w:rsidRDefault="00147163" w:rsidP="0035522D">
            <w:r>
              <w:t>Hue Cameras</w:t>
            </w:r>
          </w:p>
        </w:tc>
      </w:tr>
      <w:tr w:rsidR="005006ED" w:rsidRPr="0035522D" w:rsidTr="005006ED">
        <w:trPr>
          <w:trHeight w:val="381"/>
        </w:trPr>
        <w:tc>
          <w:tcPr>
            <w:tcW w:w="3539" w:type="dxa"/>
          </w:tcPr>
          <w:p w:rsidR="005006ED" w:rsidRPr="00BF03FF" w:rsidRDefault="005006ED" w:rsidP="0035522D">
            <w:r w:rsidRPr="00BF03FF">
              <w:t xml:space="preserve">Focusing on professional development </w:t>
            </w:r>
          </w:p>
        </w:tc>
        <w:tc>
          <w:tcPr>
            <w:tcW w:w="2977" w:type="dxa"/>
          </w:tcPr>
          <w:p w:rsidR="005006ED" w:rsidRDefault="002424F8" w:rsidP="0035522D">
            <w:r w:rsidRPr="002424F8">
              <w:rPr>
                <w:b/>
              </w:rPr>
              <w:t>Subscription to National College</w:t>
            </w:r>
            <w:r>
              <w:t xml:space="preserve"> to enable distanced and remote learning for staff</w:t>
            </w:r>
          </w:p>
          <w:p w:rsidR="00A07A81" w:rsidRDefault="00A07A81" w:rsidP="0035522D"/>
          <w:p w:rsidR="002424F8" w:rsidRDefault="00A07A81" w:rsidP="00A07A81">
            <w:r>
              <w:t xml:space="preserve">Train staff to equip them with professional knowledge based upon robust evidence about approaches that are known to be effective. </w:t>
            </w:r>
          </w:p>
          <w:p w:rsidR="008E0DF2" w:rsidRDefault="008E0DF2" w:rsidP="00A07A81"/>
          <w:p w:rsidR="008E0DF2" w:rsidRDefault="008E0DF2" w:rsidP="00A07A81">
            <w:r>
              <w:t>PE CPD Resource packs</w:t>
            </w:r>
          </w:p>
          <w:p w:rsidR="008E0DF2" w:rsidRPr="0035522D" w:rsidRDefault="008E0DF2" w:rsidP="00A07A81"/>
        </w:tc>
        <w:tc>
          <w:tcPr>
            <w:tcW w:w="2977" w:type="dxa"/>
          </w:tcPr>
          <w:p w:rsidR="005006ED" w:rsidRDefault="002424F8" w:rsidP="0035522D">
            <w:r>
              <w:t>Modules on effective catch up interventions and curriculum</w:t>
            </w:r>
          </w:p>
          <w:p w:rsidR="00A07A81" w:rsidRDefault="00A07A81" w:rsidP="0035522D"/>
          <w:p w:rsidR="00A07A81" w:rsidRDefault="00A07A81" w:rsidP="0035522D"/>
          <w:p w:rsidR="00A07A81" w:rsidRDefault="00A07A81" w:rsidP="00A07A81">
            <w:r>
              <w:t>Referring to:</w:t>
            </w:r>
          </w:p>
          <w:p w:rsidR="00A07A81" w:rsidRDefault="00A07A81" w:rsidP="00A07A81">
            <w:r>
              <w:t xml:space="preserve">• </w:t>
            </w:r>
            <w:proofErr w:type="spellStart"/>
            <w:r>
              <w:t>DfE’s</w:t>
            </w:r>
            <w:proofErr w:type="spellEnd"/>
            <w:r>
              <w:t xml:space="preserve"> catch-up premium guidance</w:t>
            </w:r>
          </w:p>
          <w:p w:rsidR="00A07A81" w:rsidRDefault="00A07A81" w:rsidP="00A07A81">
            <w:r>
              <w:t>• EEF’s COVID-19 support guide for schools</w:t>
            </w:r>
          </w:p>
          <w:p w:rsidR="00A07A81" w:rsidRPr="0035522D" w:rsidRDefault="00A07A81" w:rsidP="0035522D"/>
        </w:tc>
      </w:tr>
      <w:tr w:rsidR="0035522D" w:rsidRPr="0035522D" w:rsidTr="005006ED">
        <w:trPr>
          <w:trHeight w:val="381"/>
        </w:trPr>
        <w:tc>
          <w:tcPr>
            <w:tcW w:w="3539" w:type="dxa"/>
          </w:tcPr>
          <w:p w:rsidR="0035522D" w:rsidRPr="0035522D" w:rsidRDefault="0035522D" w:rsidP="0035522D">
            <w:pPr>
              <w:spacing w:after="160" w:line="259" w:lineRule="auto"/>
            </w:pPr>
            <w:r w:rsidRPr="0035522D">
              <w:t>Barriers to learning these priorities address</w:t>
            </w:r>
          </w:p>
        </w:tc>
        <w:tc>
          <w:tcPr>
            <w:tcW w:w="5954" w:type="dxa"/>
            <w:gridSpan w:val="2"/>
          </w:tcPr>
          <w:p w:rsidR="0035522D" w:rsidRPr="0035522D" w:rsidRDefault="00DE6128" w:rsidP="00DE6128">
            <w:pPr>
              <w:spacing w:after="160" w:line="259" w:lineRule="auto"/>
            </w:pPr>
            <w:r w:rsidRPr="006D5D7E">
              <w:t>B1</w:t>
            </w:r>
            <w:r>
              <w:t xml:space="preserve">, B2, B3, B4, B5, B7, </w:t>
            </w:r>
            <w:r w:rsidRPr="0054232D">
              <w:t>B9</w:t>
            </w:r>
          </w:p>
        </w:tc>
      </w:tr>
      <w:tr w:rsidR="0035522D" w:rsidRPr="0035522D" w:rsidTr="005006ED">
        <w:trPr>
          <w:trHeight w:val="381"/>
        </w:trPr>
        <w:tc>
          <w:tcPr>
            <w:tcW w:w="3539" w:type="dxa"/>
          </w:tcPr>
          <w:p w:rsidR="0035522D" w:rsidRPr="002564AA" w:rsidRDefault="002564AA" w:rsidP="0035522D">
            <w:pPr>
              <w:spacing w:after="160" w:line="259" w:lineRule="auto"/>
              <w:rPr>
                <w:b/>
              </w:rPr>
            </w:pPr>
            <w:r w:rsidRPr="002564AA">
              <w:rPr>
                <w:b/>
              </w:rPr>
              <w:t>Expenditure to date 23/06/21</w:t>
            </w:r>
            <w:r w:rsidR="0035522D" w:rsidRPr="002564AA">
              <w:rPr>
                <w:b/>
              </w:rPr>
              <w:t xml:space="preserve"> </w:t>
            </w:r>
          </w:p>
        </w:tc>
        <w:tc>
          <w:tcPr>
            <w:tcW w:w="5954" w:type="dxa"/>
            <w:gridSpan w:val="2"/>
          </w:tcPr>
          <w:p w:rsidR="0035522D" w:rsidRPr="002564AA" w:rsidRDefault="0035522D" w:rsidP="0035522D">
            <w:pPr>
              <w:rPr>
                <w:b/>
              </w:rPr>
            </w:pPr>
            <w:r w:rsidRPr="002564AA">
              <w:rPr>
                <w:b/>
              </w:rPr>
              <w:t>£</w:t>
            </w:r>
            <w:r w:rsidR="002564AA" w:rsidRPr="002564AA">
              <w:rPr>
                <w:b/>
              </w:rPr>
              <w:t>15,243</w:t>
            </w:r>
          </w:p>
        </w:tc>
      </w:tr>
    </w:tbl>
    <w:p w:rsidR="0035522D" w:rsidRDefault="0035522D" w:rsidP="0035522D">
      <w:pPr>
        <w:rPr>
          <w:b/>
        </w:rPr>
      </w:pPr>
    </w:p>
    <w:p w:rsidR="0035522D" w:rsidRPr="0035522D" w:rsidRDefault="0035522D" w:rsidP="0035522D">
      <w:pPr>
        <w:pStyle w:val="Heading2"/>
      </w:pPr>
      <w:r>
        <w:t xml:space="preserve">2. </w:t>
      </w:r>
      <w:r w:rsidRPr="0035522D">
        <w:t>Targeted academic support for current academic year</w:t>
      </w:r>
    </w:p>
    <w:tbl>
      <w:tblPr>
        <w:tblStyle w:val="TableGrid"/>
        <w:tblW w:w="9493" w:type="dxa"/>
        <w:tblLook w:val="04A0" w:firstRow="1" w:lastRow="0" w:firstColumn="1" w:lastColumn="0" w:noHBand="0" w:noVBand="1"/>
      </w:tblPr>
      <w:tblGrid>
        <w:gridCol w:w="3539"/>
        <w:gridCol w:w="2977"/>
        <w:gridCol w:w="2977"/>
      </w:tblGrid>
      <w:tr w:rsidR="005006ED" w:rsidRPr="0035522D" w:rsidTr="005006ED">
        <w:trPr>
          <w:trHeight w:val="381"/>
        </w:trPr>
        <w:tc>
          <w:tcPr>
            <w:tcW w:w="3539" w:type="dxa"/>
          </w:tcPr>
          <w:p w:rsidR="005006ED" w:rsidRPr="0035522D" w:rsidRDefault="005006ED" w:rsidP="0035522D">
            <w:pPr>
              <w:spacing w:after="160" w:line="259" w:lineRule="auto"/>
            </w:pPr>
            <w:r w:rsidRPr="0035522D">
              <w:rPr>
                <w:b/>
              </w:rPr>
              <w:t>Measure</w:t>
            </w:r>
          </w:p>
        </w:tc>
        <w:tc>
          <w:tcPr>
            <w:tcW w:w="2977" w:type="dxa"/>
          </w:tcPr>
          <w:p w:rsidR="005006ED" w:rsidRPr="0035522D" w:rsidRDefault="005006ED" w:rsidP="0035522D">
            <w:r w:rsidRPr="0035522D">
              <w:rPr>
                <w:b/>
              </w:rPr>
              <w:t>Activity</w:t>
            </w:r>
          </w:p>
        </w:tc>
        <w:tc>
          <w:tcPr>
            <w:tcW w:w="2977" w:type="dxa"/>
          </w:tcPr>
          <w:p w:rsidR="005006ED" w:rsidRPr="005006ED" w:rsidRDefault="005006ED" w:rsidP="0035522D">
            <w:pPr>
              <w:spacing w:after="160" w:line="259" w:lineRule="auto"/>
              <w:rPr>
                <w:b/>
              </w:rPr>
            </w:pPr>
            <w:r w:rsidRPr="005006ED">
              <w:rPr>
                <w:b/>
              </w:rPr>
              <w:t>Further Details</w:t>
            </w:r>
          </w:p>
        </w:tc>
      </w:tr>
      <w:tr w:rsidR="005006ED" w:rsidRPr="0035522D" w:rsidTr="005006ED">
        <w:trPr>
          <w:trHeight w:val="381"/>
        </w:trPr>
        <w:tc>
          <w:tcPr>
            <w:tcW w:w="3539" w:type="dxa"/>
          </w:tcPr>
          <w:p w:rsidR="005006ED" w:rsidRPr="0035522D" w:rsidRDefault="005006ED" w:rsidP="005006ED">
            <w:r w:rsidRPr="00DE502B">
              <w:t xml:space="preserve">High-quality one to one and small group tuition </w:t>
            </w:r>
          </w:p>
        </w:tc>
        <w:tc>
          <w:tcPr>
            <w:tcW w:w="2977" w:type="dxa"/>
          </w:tcPr>
          <w:p w:rsidR="005006ED" w:rsidRDefault="005006ED" w:rsidP="005006ED">
            <w:r w:rsidRPr="00EA425F">
              <w:rPr>
                <w:b/>
              </w:rPr>
              <w:t>Dropped Option:</w:t>
            </w:r>
            <w:r>
              <w:t xml:space="preserve"> Y11 Support for 5 lessons per fortnight for an identified group of students who would benefit from dropping one option GCSE</w:t>
            </w:r>
          </w:p>
          <w:p w:rsidR="00EA425F" w:rsidRDefault="00EA425F" w:rsidP="005006ED"/>
          <w:p w:rsidR="00EA425F" w:rsidRDefault="00EA425F" w:rsidP="005006ED">
            <w:r w:rsidRPr="00EA425F">
              <w:rPr>
                <w:b/>
              </w:rPr>
              <w:lastRenderedPageBreak/>
              <w:t>Easter School 2021:</w:t>
            </w:r>
            <w:r>
              <w:t xml:space="preserve"> Targeted support for Year 11 students to address identified gaps.</w:t>
            </w:r>
          </w:p>
          <w:p w:rsidR="00EA425F" w:rsidRDefault="00EA425F" w:rsidP="005006ED"/>
        </w:tc>
        <w:tc>
          <w:tcPr>
            <w:tcW w:w="2977" w:type="dxa"/>
          </w:tcPr>
          <w:p w:rsidR="005006ED" w:rsidRDefault="005006ED" w:rsidP="005006ED">
            <w:r>
              <w:lastRenderedPageBreak/>
              <w:t>Enhanced provision then delivered focusing on Core Subjects plus general wellbeing and study skills</w:t>
            </w:r>
          </w:p>
          <w:p w:rsidR="00943262" w:rsidRDefault="00943262" w:rsidP="005006ED"/>
          <w:p w:rsidR="00943262" w:rsidRDefault="00943262" w:rsidP="005006ED"/>
          <w:p w:rsidR="00943262" w:rsidRDefault="00943262" w:rsidP="005006ED"/>
          <w:p w:rsidR="00943262" w:rsidRDefault="00943262" w:rsidP="005006ED">
            <w:r>
              <w:t>English, Science and Art</w:t>
            </w:r>
          </w:p>
        </w:tc>
      </w:tr>
      <w:tr w:rsidR="005006ED" w:rsidRPr="0035522D" w:rsidTr="005006ED">
        <w:trPr>
          <w:trHeight w:val="381"/>
        </w:trPr>
        <w:tc>
          <w:tcPr>
            <w:tcW w:w="3539" w:type="dxa"/>
          </w:tcPr>
          <w:p w:rsidR="005006ED" w:rsidRPr="0035522D" w:rsidRDefault="005006ED" w:rsidP="005006ED">
            <w:pPr>
              <w:spacing w:after="160" w:line="259" w:lineRule="auto"/>
            </w:pPr>
            <w:r w:rsidRPr="00DE502B">
              <w:t xml:space="preserve">Teaching Assistants and targeted support </w:t>
            </w:r>
          </w:p>
        </w:tc>
        <w:tc>
          <w:tcPr>
            <w:tcW w:w="2977" w:type="dxa"/>
          </w:tcPr>
          <w:p w:rsidR="008E0DF2" w:rsidRDefault="008E0DF2" w:rsidP="005006ED">
            <w:r>
              <w:t>Work related curriculum time with Educate and Pathways</w:t>
            </w:r>
          </w:p>
          <w:p w:rsidR="008E0DF2" w:rsidRDefault="008E0DF2" w:rsidP="005006ED"/>
          <w:p w:rsidR="00E706C1" w:rsidRDefault="00E706C1" w:rsidP="005006ED">
            <w:r>
              <w:t>Additional u</w:t>
            </w:r>
            <w:r w:rsidR="006D5D7E">
              <w:t>s</w:t>
            </w:r>
            <w:r>
              <w:t>e of Languages assistant</w:t>
            </w:r>
          </w:p>
          <w:p w:rsidR="00E706C1" w:rsidRPr="0035522D" w:rsidRDefault="00E706C1" w:rsidP="005006ED"/>
        </w:tc>
        <w:tc>
          <w:tcPr>
            <w:tcW w:w="2977" w:type="dxa"/>
          </w:tcPr>
          <w:p w:rsidR="00E706C1" w:rsidRPr="00E706C1" w:rsidRDefault="00E706C1" w:rsidP="005006ED">
            <w:pPr>
              <w:spacing w:after="160" w:line="259" w:lineRule="auto"/>
            </w:pPr>
          </w:p>
        </w:tc>
      </w:tr>
      <w:tr w:rsidR="005006ED" w:rsidRPr="0035522D" w:rsidTr="005006ED">
        <w:trPr>
          <w:trHeight w:val="381"/>
        </w:trPr>
        <w:tc>
          <w:tcPr>
            <w:tcW w:w="3539" w:type="dxa"/>
          </w:tcPr>
          <w:p w:rsidR="005006ED" w:rsidRPr="0035522D" w:rsidRDefault="005006ED" w:rsidP="005006ED">
            <w:r w:rsidRPr="00DE502B">
              <w:t xml:space="preserve">Academic tutoring </w:t>
            </w:r>
          </w:p>
        </w:tc>
        <w:tc>
          <w:tcPr>
            <w:tcW w:w="2977" w:type="dxa"/>
          </w:tcPr>
          <w:p w:rsidR="005006ED" w:rsidRDefault="00EA425F" w:rsidP="005006ED">
            <w:r w:rsidRPr="00EA425F">
              <w:rPr>
                <w:b/>
              </w:rPr>
              <w:t>Literacy Support Programme</w:t>
            </w:r>
            <w:r>
              <w:t>: Y7-10 4 week programme with KS3 Literacy co-ordinator</w:t>
            </w:r>
          </w:p>
          <w:p w:rsidR="00436D83" w:rsidRDefault="00436D83" w:rsidP="005006ED"/>
          <w:p w:rsidR="00436D83" w:rsidRDefault="00436D83" w:rsidP="005006ED">
            <w:r>
              <w:t>Literacy Catch-Up</w:t>
            </w:r>
          </w:p>
          <w:p w:rsidR="008E0DF2" w:rsidRDefault="008E0DF2" w:rsidP="005006ED"/>
          <w:p w:rsidR="008E0DF2" w:rsidRPr="0035522D" w:rsidRDefault="008E0DF2" w:rsidP="005006ED">
            <w:r>
              <w:t xml:space="preserve">Additional tutoring for Music </w:t>
            </w:r>
          </w:p>
        </w:tc>
        <w:tc>
          <w:tcPr>
            <w:tcW w:w="2977" w:type="dxa"/>
          </w:tcPr>
          <w:p w:rsidR="005006ED" w:rsidRDefault="00EA425F" w:rsidP="005006ED">
            <w:r>
              <w:t>Commences 4</w:t>
            </w:r>
            <w:r w:rsidRPr="00EA425F">
              <w:rPr>
                <w:vertAlign w:val="superscript"/>
              </w:rPr>
              <w:t>th</w:t>
            </w:r>
            <w:r>
              <w:t xml:space="preserve"> June 2021</w:t>
            </w:r>
          </w:p>
          <w:p w:rsidR="008E0DF2" w:rsidRDefault="008E0DF2" w:rsidP="005006ED"/>
          <w:p w:rsidR="008E0DF2" w:rsidRDefault="008E0DF2" w:rsidP="005006ED"/>
          <w:p w:rsidR="008E0DF2" w:rsidRDefault="008E0DF2" w:rsidP="005006ED"/>
          <w:p w:rsidR="00436D83" w:rsidRDefault="00436D83" w:rsidP="005006ED">
            <w:r>
              <w:t xml:space="preserve">See appendix 2 - </w:t>
            </w:r>
            <w:r w:rsidRPr="00436D83">
              <w:t>approximat</w:t>
            </w:r>
            <w:r>
              <w:t>ely 10 pupils in each session. </w:t>
            </w:r>
            <w:r w:rsidRPr="00436D83">
              <w:t>9</w:t>
            </w:r>
            <w:r>
              <w:t>0 minutes support a fortnight.</w:t>
            </w:r>
          </w:p>
          <w:p w:rsidR="00436D83" w:rsidRDefault="00436D83" w:rsidP="005006ED"/>
          <w:p w:rsidR="008E0DF2" w:rsidRDefault="008E0DF2" w:rsidP="005006ED">
            <w:r>
              <w:t xml:space="preserve">Supporting Y11 </w:t>
            </w:r>
            <w:proofErr w:type="spellStart"/>
            <w:r>
              <w:t>BtEC</w:t>
            </w:r>
            <w:proofErr w:type="spellEnd"/>
            <w:r>
              <w:t xml:space="preserve"> students</w:t>
            </w:r>
          </w:p>
          <w:p w:rsidR="008E0DF2" w:rsidRPr="0035522D" w:rsidRDefault="008E0DF2" w:rsidP="005006ED"/>
        </w:tc>
      </w:tr>
      <w:tr w:rsidR="00AA6465" w:rsidRPr="0035522D" w:rsidTr="005006ED">
        <w:trPr>
          <w:trHeight w:val="381"/>
        </w:trPr>
        <w:tc>
          <w:tcPr>
            <w:tcW w:w="3539" w:type="dxa"/>
          </w:tcPr>
          <w:p w:rsidR="00AA6465" w:rsidRPr="00DE502B" w:rsidRDefault="00AA6465" w:rsidP="005006ED">
            <w:r>
              <w:t>Brilliant Club</w:t>
            </w:r>
          </w:p>
        </w:tc>
        <w:tc>
          <w:tcPr>
            <w:tcW w:w="2977" w:type="dxa"/>
          </w:tcPr>
          <w:p w:rsidR="00AA6465" w:rsidRPr="00AA6465" w:rsidRDefault="00AA6465" w:rsidP="00AA6465">
            <w:r w:rsidRPr="00AA6465">
              <w:t xml:space="preserve">Two cohorts of 12 students from disadvantaged and </w:t>
            </w:r>
            <w:proofErr w:type="spellStart"/>
            <w:r w:rsidRPr="00AA6465">
              <w:t>under represented</w:t>
            </w:r>
            <w:proofErr w:type="spellEnd"/>
            <w:r w:rsidRPr="00AA6465">
              <w:t xml:space="preserve"> groups to raise aspirations.</w:t>
            </w:r>
          </w:p>
        </w:tc>
        <w:tc>
          <w:tcPr>
            <w:tcW w:w="2977" w:type="dxa"/>
          </w:tcPr>
          <w:p w:rsidR="00AA6465" w:rsidRDefault="00AA6465" w:rsidP="005006ED">
            <w:r>
              <w:t>Commences October 2021</w:t>
            </w:r>
          </w:p>
        </w:tc>
      </w:tr>
      <w:tr w:rsidR="005006ED" w:rsidRPr="0035522D" w:rsidTr="005006ED">
        <w:trPr>
          <w:trHeight w:val="381"/>
        </w:trPr>
        <w:tc>
          <w:tcPr>
            <w:tcW w:w="3539" w:type="dxa"/>
          </w:tcPr>
          <w:p w:rsidR="005006ED" w:rsidRPr="0035522D" w:rsidRDefault="005006ED" w:rsidP="005006ED">
            <w:r w:rsidRPr="00DE502B">
              <w:t xml:space="preserve">Planning for pupils with Special Educational Needs and Disabilities (SEND) </w:t>
            </w:r>
          </w:p>
        </w:tc>
        <w:tc>
          <w:tcPr>
            <w:tcW w:w="2977" w:type="dxa"/>
          </w:tcPr>
          <w:p w:rsidR="005006ED" w:rsidRDefault="004A0624" w:rsidP="004A0624">
            <w:r>
              <w:t>Employ</w:t>
            </w:r>
            <w:r w:rsidR="006678A1">
              <w:t xml:space="preserve"> SEND </w:t>
            </w:r>
            <w:r>
              <w:t>Lead teacher</w:t>
            </w:r>
            <w:r w:rsidR="006678A1">
              <w:t xml:space="preserve"> </w:t>
            </w:r>
          </w:p>
          <w:p w:rsidR="008E0DF2" w:rsidRPr="0035522D" w:rsidRDefault="008E0DF2" w:rsidP="004A0624"/>
        </w:tc>
        <w:tc>
          <w:tcPr>
            <w:tcW w:w="2977" w:type="dxa"/>
          </w:tcPr>
          <w:p w:rsidR="005006ED" w:rsidRPr="0035522D" w:rsidRDefault="004A0624" w:rsidP="004A0624">
            <w:r>
              <w:t>S</w:t>
            </w:r>
            <w:r w:rsidR="006678A1">
              <w:t xml:space="preserve">tart March 2021 for </w:t>
            </w:r>
            <w:r>
              <w:t>SEND Lead teacher to identify gaps and lead on a targeted catch up curriculum for SEND students</w:t>
            </w:r>
          </w:p>
        </w:tc>
      </w:tr>
      <w:tr w:rsidR="005006ED" w:rsidRPr="0035522D" w:rsidTr="005006ED">
        <w:trPr>
          <w:trHeight w:val="381"/>
        </w:trPr>
        <w:tc>
          <w:tcPr>
            <w:tcW w:w="3539" w:type="dxa"/>
          </w:tcPr>
          <w:p w:rsidR="005006ED" w:rsidRPr="0035522D" w:rsidRDefault="005006ED" w:rsidP="005006ED">
            <w:pPr>
              <w:spacing w:after="160" w:line="259" w:lineRule="auto"/>
            </w:pPr>
            <w:r w:rsidRPr="0035522D">
              <w:t>Barriers to learning these priorities address</w:t>
            </w:r>
          </w:p>
        </w:tc>
        <w:tc>
          <w:tcPr>
            <w:tcW w:w="5954" w:type="dxa"/>
            <w:gridSpan w:val="2"/>
          </w:tcPr>
          <w:p w:rsidR="005006ED" w:rsidRPr="0035522D" w:rsidRDefault="00B71978" w:rsidP="005006ED">
            <w:pPr>
              <w:spacing w:after="160" w:line="259" w:lineRule="auto"/>
            </w:pPr>
            <w:r>
              <w:t>B1, B2, B5, B6</w:t>
            </w:r>
            <w:r w:rsidR="00AA6465">
              <w:t>, B8</w:t>
            </w:r>
          </w:p>
        </w:tc>
      </w:tr>
      <w:tr w:rsidR="002564AA" w:rsidRPr="0035522D" w:rsidTr="005006ED">
        <w:trPr>
          <w:trHeight w:val="381"/>
        </w:trPr>
        <w:tc>
          <w:tcPr>
            <w:tcW w:w="3539" w:type="dxa"/>
          </w:tcPr>
          <w:p w:rsidR="002564AA" w:rsidRPr="002564AA" w:rsidRDefault="002564AA" w:rsidP="002564AA">
            <w:pPr>
              <w:spacing w:after="160" w:line="259" w:lineRule="auto"/>
              <w:rPr>
                <w:b/>
              </w:rPr>
            </w:pPr>
            <w:r w:rsidRPr="002564AA">
              <w:rPr>
                <w:b/>
              </w:rPr>
              <w:t xml:space="preserve">Expenditure to date 23/06/21 </w:t>
            </w:r>
          </w:p>
        </w:tc>
        <w:tc>
          <w:tcPr>
            <w:tcW w:w="5954" w:type="dxa"/>
            <w:gridSpan w:val="2"/>
          </w:tcPr>
          <w:p w:rsidR="002564AA" w:rsidRPr="002564AA" w:rsidRDefault="002564AA" w:rsidP="002564AA">
            <w:pPr>
              <w:spacing w:after="160" w:line="259" w:lineRule="auto"/>
              <w:rPr>
                <w:b/>
              </w:rPr>
            </w:pPr>
            <w:r w:rsidRPr="002564AA">
              <w:rPr>
                <w:b/>
              </w:rPr>
              <w:t>£35,023</w:t>
            </w:r>
          </w:p>
        </w:tc>
      </w:tr>
    </w:tbl>
    <w:p w:rsidR="0035522D" w:rsidRDefault="0035522D" w:rsidP="0035522D">
      <w:pPr>
        <w:rPr>
          <w:b/>
        </w:rPr>
      </w:pPr>
    </w:p>
    <w:p w:rsidR="0035522D" w:rsidRPr="0035522D" w:rsidRDefault="0035522D" w:rsidP="005006ED">
      <w:pPr>
        <w:pStyle w:val="Heading2"/>
      </w:pPr>
      <w:proofErr w:type="gramStart"/>
      <w:r>
        <w:t>3.</w:t>
      </w:r>
      <w:r w:rsidRPr="0035522D">
        <w:t>Wider</w:t>
      </w:r>
      <w:proofErr w:type="gramEnd"/>
      <w:r w:rsidRPr="0035522D">
        <w:t xml:space="preserve"> strategies for current academic year</w:t>
      </w:r>
    </w:p>
    <w:tbl>
      <w:tblPr>
        <w:tblStyle w:val="TableGrid"/>
        <w:tblW w:w="9493" w:type="dxa"/>
        <w:tblLook w:val="04A0" w:firstRow="1" w:lastRow="0" w:firstColumn="1" w:lastColumn="0" w:noHBand="0" w:noVBand="1"/>
      </w:tblPr>
      <w:tblGrid>
        <w:gridCol w:w="3539"/>
        <w:gridCol w:w="2977"/>
        <w:gridCol w:w="2977"/>
      </w:tblGrid>
      <w:tr w:rsidR="005006ED" w:rsidRPr="0035522D" w:rsidTr="005006ED">
        <w:tc>
          <w:tcPr>
            <w:tcW w:w="3539" w:type="dxa"/>
          </w:tcPr>
          <w:p w:rsidR="005006ED" w:rsidRPr="0035522D" w:rsidRDefault="005006ED" w:rsidP="0035522D">
            <w:pPr>
              <w:spacing w:after="160" w:line="259" w:lineRule="auto"/>
              <w:rPr>
                <w:b/>
              </w:rPr>
            </w:pPr>
            <w:r w:rsidRPr="0035522D">
              <w:rPr>
                <w:b/>
              </w:rPr>
              <w:t>Measure</w:t>
            </w:r>
          </w:p>
        </w:tc>
        <w:tc>
          <w:tcPr>
            <w:tcW w:w="2977" w:type="dxa"/>
          </w:tcPr>
          <w:p w:rsidR="005006ED" w:rsidRPr="0035522D" w:rsidRDefault="005006ED" w:rsidP="0035522D">
            <w:pPr>
              <w:rPr>
                <w:b/>
              </w:rPr>
            </w:pPr>
            <w:r w:rsidRPr="0035522D">
              <w:rPr>
                <w:b/>
              </w:rPr>
              <w:t>Activity</w:t>
            </w:r>
          </w:p>
        </w:tc>
        <w:tc>
          <w:tcPr>
            <w:tcW w:w="2977" w:type="dxa"/>
          </w:tcPr>
          <w:p w:rsidR="005006ED" w:rsidRPr="0035522D" w:rsidRDefault="005006ED" w:rsidP="0035522D">
            <w:pPr>
              <w:spacing w:after="160" w:line="259" w:lineRule="auto"/>
              <w:rPr>
                <w:b/>
              </w:rPr>
            </w:pPr>
            <w:r w:rsidRPr="005006ED">
              <w:rPr>
                <w:b/>
              </w:rPr>
              <w:t>Further Details</w:t>
            </w:r>
          </w:p>
        </w:tc>
      </w:tr>
      <w:tr w:rsidR="005006ED" w:rsidRPr="0035522D" w:rsidTr="005006ED">
        <w:tc>
          <w:tcPr>
            <w:tcW w:w="3539" w:type="dxa"/>
          </w:tcPr>
          <w:p w:rsidR="005006ED" w:rsidRPr="0035522D" w:rsidRDefault="005006ED" w:rsidP="0035522D">
            <w:pPr>
              <w:spacing w:after="160" w:line="259" w:lineRule="auto"/>
            </w:pPr>
            <w:r>
              <w:t xml:space="preserve">Supporting pupils’ social, emotional and behavioural needs </w:t>
            </w:r>
          </w:p>
        </w:tc>
        <w:tc>
          <w:tcPr>
            <w:tcW w:w="2977" w:type="dxa"/>
          </w:tcPr>
          <w:p w:rsidR="005006ED" w:rsidRDefault="005006ED" w:rsidP="0035522D">
            <w:r>
              <w:t xml:space="preserve">8 week </w:t>
            </w:r>
            <w:r w:rsidRPr="00EA425F">
              <w:rPr>
                <w:b/>
              </w:rPr>
              <w:t>Catch Up programme</w:t>
            </w:r>
            <w:r>
              <w:t xml:space="preserve"> Years 7-10 (See appendix 1).</w:t>
            </w:r>
          </w:p>
          <w:p w:rsidR="00DE6128" w:rsidRDefault="00DE6128" w:rsidP="0035522D"/>
          <w:p w:rsidR="00DE6128" w:rsidRDefault="00DE6128" w:rsidP="0035522D"/>
          <w:p w:rsidR="00DE6128" w:rsidRDefault="00DE6128" w:rsidP="0035522D"/>
          <w:p w:rsidR="00217903" w:rsidRDefault="00217903" w:rsidP="00DE6128">
            <w:r>
              <w:t>Implementation of new year group system</w:t>
            </w:r>
          </w:p>
          <w:p w:rsidR="00217903" w:rsidRDefault="00217903" w:rsidP="00DE6128"/>
          <w:p w:rsidR="00217903" w:rsidRDefault="00217903" w:rsidP="00DE6128"/>
          <w:p w:rsidR="00DE6128" w:rsidRDefault="00DE6128" w:rsidP="00DE6128">
            <w:r>
              <w:t xml:space="preserve">Successful application to enrol onto </w:t>
            </w:r>
            <w:proofErr w:type="spellStart"/>
            <w:r>
              <w:t>DfE</w:t>
            </w:r>
            <w:proofErr w:type="spellEnd"/>
            <w:r>
              <w:t xml:space="preserve"> Behaviour  Hubs programme</w:t>
            </w:r>
          </w:p>
          <w:p w:rsidR="00DE6128" w:rsidRPr="0035522D" w:rsidRDefault="00DE6128" w:rsidP="00DE6128"/>
        </w:tc>
        <w:tc>
          <w:tcPr>
            <w:tcW w:w="2977" w:type="dxa"/>
          </w:tcPr>
          <w:p w:rsidR="005006ED" w:rsidRDefault="005006ED" w:rsidP="0035522D">
            <w:pPr>
              <w:spacing w:after="160" w:line="259" w:lineRule="auto"/>
            </w:pPr>
            <w:r>
              <w:t xml:space="preserve">Summer Term 2021. After school sessions – wellbeing, exercise, growth </w:t>
            </w:r>
            <w:proofErr w:type="spellStart"/>
            <w:r>
              <w:t>mindset</w:t>
            </w:r>
            <w:proofErr w:type="spellEnd"/>
            <w:r>
              <w:t>, study support</w:t>
            </w:r>
            <w:r w:rsidR="00EA425F">
              <w:t xml:space="preserve"> etc.</w:t>
            </w:r>
          </w:p>
          <w:p w:rsidR="00217903" w:rsidRDefault="00217903" w:rsidP="0035522D">
            <w:pPr>
              <w:spacing w:after="160" w:line="259" w:lineRule="auto"/>
            </w:pPr>
            <w:r>
              <w:t>Move from House to Year Group pastoral system building extra capacity</w:t>
            </w:r>
          </w:p>
          <w:p w:rsidR="00DE6128" w:rsidRPr="0035522D" w:rsidRDefault="00DE6128" w:rsidP="0035522D">
            <w:pPr>
              <w:spacing w:after="160" w:line="259" w:lineRule="auto"/>
            </w:pPr>
            <w:r>
              <w:t>Extended partner status.</w:t>
            </w:r>
          </w:p>
        </w:tc>
      </w:tr>
      <w:tr w:rsidR="005006ED" w:rsidRPr="0035522D" w:rsidTr="005006ED">
        <w:tc>
          <w:tcPr>
            <w:tcW w:w="3539" w:type="dxa"/>
          </w:tcPr>
          <w:p w:rsidR="005006ED" w:rsidRPr="0035522D" w:rsidRDefault="005006ED" w:rsidP="0035522D">
            <w:pPr>
              <w:spacing w:after="160" w:line="259" w:lineRule="auto"/>
            </w:pPr>
            <w:r>
              <w:lastRenderedPageBreak/>
              <w:t>Planning carefully for adopting a Social and Emotional Learning curriculum</w:t>
            </w:r>
          </w:p>
        </w:tc>
        <w:tc>
          <w:tcPr>
            <w:tcW w:w="2977" w:type="dxa"/>
          </w:tcPr>
          <w:p w:rsidR="003C4A51" w:rsidRDefault="003C4A51" w:rsidP="003C4A51">
            <w:r>
              <w:t xml:space="preserve">SMSC assemblies delivered to all year groups </w:t>
            </w:r>
          </w:p>
          <w:p w:rsidR="003C4A51" w:rsidRDefault="003C4A51" w:rsidP="003C4A51"/>
          <w:p w:rsidR="003C4A51" w:rsidRDefault="003C4A51" w:rsidP="003C4A51"/>
          <w:p w:rsidR="003C4A51" w:rsidRDefault="003C4A51" w:rsidP="003C4A51"/>
          <w:p w:rsidR="003C4A51" w:rsidRDefault="003C4A51" w:rsidP="003C4A51">
            <w:r>
              <w:t xml:space="preserve">PSHE curriculum adapted to address relevant issues </w:t>
            </w:r>
          </w:p>
          <w:p w:rsidR="003C4A51" w:rsidRDefault="003C4A51" w:rsidP="003C4A51"/>
          <w:p w:rsidR="003C4A51" w:rsidRDefault="003C4A51" w:rsidP="003C4A51"/>
          <w:p w:rsidR="00F17A25" w:rsidRDefault="00F17A25" w:rsidP="003C4A51"/>
          <w:p w:rsidR="003C4A51" w:rsidRDefault="003C4A51" w:rsidP="003C4A51">
            <w:r>
              <w:t xml:space="preserve">New Inclusion Club </w:t>
            </w:r>
          </w:p>
          <w:p w:rsidR="003C4A51" w:rsidRDefault="003C4A51" w:rsidP="003C4A51"/>
          <w:p w:rsidR="003C4A51" w:rsidRDefault="003C4A51" w:rsidP="003C4A51"/>
          <w:p w:rsidR="003C4A51" w:rsidRDefault="003C4A51" w:rsidP="003C4A51"/>
          <w:p w:rsidR="003C4A51" w:rsidRDefault="003C4A51" w:rsidP="003C4A51"/>
          <w:p w:rsidR="003C4A51" w:rsidRDefault="003C4A51" w:rsidP="003C4A51"/>
          <w:p w:rsidR="003C4A51" w:rsidRDefault="003C4A51" w:rsidP="003C4A51"/>
          <w:p w:rsidR="003C4A51" w:rsidRDefault="003C4A51" w:rsidP="003C4A51">
            <w:r>
              <w:t xml:space="preserve">Resilience workshops with talk-the-Talk Education.  </w:t>
            </w:r>
          </w:p>
          <w:p w:rsidR="003C4A51" w:rsidRDefault="003C4A51" w:rsidP="003C4A51"/>
          <w:p w:rsidR="00F17A25" w:rsidRDefault="00F17A25" w:rsidP="003C4A51"/>
          <w:p w:rsidR="003C4A51" w:rsidRDefault="003C4A51" w:rsidP="003C4A51">
            <w:r>
              <w:t xml:space="preserve">Tutor-time structured plan </w:t>
            </w:r>
          </w:p>
          <w:p w:rsidR="003C4A51" w:rsidRDefault="003C4A51" w:rsidP="003C4A51"/>
          <w:p w:rsidR="003C4A51" w:rsidRDefault="003C4A51" w:rsidP="003C4A51"/>
          <w:p w:rsidR="003C4A51" w:rsidRDefault="003C4A51" w:rsidP="003C4A51"/>
          <w:p w:rsidR="003C4A51" w:rsidRDefault="003C4A51" w:rsidP="003C4A51"/>
          <w:p w:rsidR="005006ED" w:rsidRPr="0035522D" w:rsidRDefault="003C4A51" w:rsidP="003C4A51">
            <w:r>
              <w:t>Introduction of a new GCSE Citizenship award is t</w:t>
            </w:r>
            <w:r w:rsidR="00037D66">
              <w:t>o be introduced in September ‘</w:t>
            </w:r>
            <w:r>
              <w:t>21</w:t>
            </w:r>
          </w:p>
        </w:tc>
        <w:tc>
          <w:tcPr>
            <w:tcW w:w="2977" w:type="dxa"/>
          </w:tcPr>
          <w:p w:rsidR="003C4A51" w:rsidRDefault="003C4A51" w:rsidP="0035522D">
            <w:pPr>
              <w:spacing w:after="160" w:line="259" w:lineRule="auto"/>
            </w:pPr>
            <w:r>
              <w:t xml:space="preserve">Including two from </w:t>
            </w:r>
            <w:proofErr w:type="spellStart"/>
            <w:r>
              <w:t>Kooth</w:t>
            </w:r>
            <w:proofErr w:type="spellEnd"/>
            <w:r>
              <w:t xml:space="preserve"> on its provision and to celebrate Mental Health Awareness Week </w:t>
            </w:r>
          </w:p>
          <w:p w:rsidR="003C4A51" w:rsidRDefault="003C4A51" w:rsidP="0035522D">
            <w:pPr>
              <w:spacing w:after="160" w:line="259" w:lineRule="auto"/>
            </w:pPr>
            <w:r>
              <w:t>Including mental health and other lockdown-related themes</w:t>
            </w:r>
          </w:p>
          <w:p w:rsidR="003C4A51" w:rsidRDefault="003C4A51" w:rsidP="003C4A51">
            <w:pPr>
              <w:spacing w:after="160" w:line="259" w:lineRule="auto"/>
            </w:pPr>
            <w:r>
              <w:t xml:space="preserve">Providing opportunities for members to learn more about the Protected Characteristics and influence the curriculum relating to the Protected Characteristics </w:t>
            </w:r>
          </w:p>
          <w:p w:rsidR="003C4A51" w:rsidRDefault="003C4A51" w:rsidP="003C4A51">
            <w:pPr>
              <w:spacing w:after="160" w:line="259" w:lineRule="auto"/>
            </w:pPr>
          </w:p>
          <w:p w:rsidR="003C4A51" w:rsidRDefault="003C4A51" w:rsidP="003C4A51">
            <w:pPr>
              <w:spacing w:after="160" w:line="259" w:lineRule="auto"/>
            </w:pPr>
          </w:p>
          <w:p w:rsidR="005006ED" w:rsidRPr="0035522D" w:rsidRDefault="003C4A51" w:rsidP="003C4A51">
            <w:pPr>
              <w:spacing w:after="160" w:line="259" w:lineRule="auto"/>
            </w:pPr>
            <w:r>
              <w:t>Addressing literacy, numeracy and personal development themes</w:t>
            </w:r>
          </w:p>
        </w:tc>
      </w:tr>
      <w:tr w:rsidR="005006ED" w:rsidRPr="0035522D" w:rsidTr="005006ED">
        <w:tc>
          <w:tcPr>
            <w:tcW w:w="3539" w:type="dxa"/>
          </w:tcPr>
          <w:p w:rsidR="005006ED" w:rsidRPr="0035522D" w:rsidRDefault="005006ED" w:rsidP="0035522D">
            <w:r>
              <w:t xml:space="preserve">Communicating with and supporting parents </w:t>
            </w:r>
          </w:p>
        </w:tc>
        <w:tc>
          <w:tcPr>
            <w:tcW w:w="2977" w:type="dxa"/>
          </w:tcPr>
          <w:p w:rsidR="005006ED" w:rsidRDefault="00DE6128" w:rsidP="0035522D">
            <w:r>
              <w:t>Purchase of and implementation of school cloud for virtual remote meetings.</w:t>
            </w:r>
          </w:p>
          <w:p w:rsidR="00DE6128" w:rsidRDefault="00DE6128" w:rsidP="0035522D"/>
          <w:p w:rsidR="00DE6128" w:rsidRPr="0035522D" w:rsidRDefault="00DE6128" w:rsidP="0035522D"/>
        </w:tc>
        <w:tc>
          <w:tcPr>
            <w:tcW w:w="2977" w:type="dxa"/>
          </w:tcPr>
          <w:p w:rsidR="005006ED" w:rsidRPr="0035522D" w:rsidRDefault="00DE6128" w:rsidP="0035522D">
            <w:r>
              <w:t>Used to facilitate parent evenings</w:t>
            </w:r>
          </w:p>
        </w:tc>
      </w:tr>
      <w:tr w:rsidR="005006ED" w:rsidRPr="0035522D" w:rsidTr="005006ED">
        <w:tc>
          <w:tcPr>
            <w:tcW w:w="3539" w:type="dxa"/>
          </w:tcPr>
          <w:p w:rsidR="005006ED" w:rsidRPr="0035522D" w:rsidRDefault="005006ED" w:rsidP="0035522D">
            <w:r>
              <w:t>Supporting parents with pupils of different ages</w:t>
            </w:r>
          </w:p>
        </w:tc>
        <w:tc>
          <w:tcPr>
            <w:tcW w:w="2977" w:type="dxa"/>
          </w:tcPr>
          <w:p w:rsidR="005006ED" w:rsidRDefault="00DE6128" w:rsidP="0035522D">
            <w:r>
              <w:t>Transition Summer School</w:t>
            </w:r>
          </w:p>
          <w:p w:rsidR="00B71978" w:rsidRDefault="00B71978" w:rsidP="0035522D"/>
          <w:p w:rsidR="00B71978" w:rsidRDefault="00B71978" w:rsidP="0035522D"/>
          <w:p w:rsidR="00B71978" w:rsidRDefault="00B71978" w:rsidP="0035522D">
            <w:r>
              <w:t xml:space="preserve">Targeted </w:t>
            </w:r>
            <w:r w:rsidR="00F771EB">
              <w:t>careers and further education advice and guidance</w:t>
            </w:r>
          </w:p>
          <w:p w:rsidR="00F771EB" w:rsidRPr="0035522D" w:rsidRDefault="00F771EB" w:rsidP="0035522D"/>
        </w:tc>
        <w:tc>
          <w:tcPr>
            <w:tcW w:w="2977" w:type="dxa"/>
          </w:tcPr>
          <w:p w:rsidR="005006ED" w:rsidRDefault="00DE6128" w:rsidP="0035522D">
            <w:r>
              <w:t>Y6 Pupils coming to Range in September 2021</w:t>
            </w:r>
          </w:p>
          <w:p w:rsidR="00B71978" w:rsidRDefault="00B71978" w:rsidP="0035522D"/>
          <w:p w:rsidR="00F17A25" w:rsidRDefault="00F17A25" w:rsidP="00F17A25">
            <w:r>
              <w:t>Remote UCAS programme in place for Y12 in the Summer Term 2020. Comprehensive resources created individual</w:t>
            </w:r>
          </w:p>
          <w:p w:rsidR="00F17A25" w:rsidRDefault="00F17A25" w:rsidP="00F17A25">
            <w:proofErr w:type="gramStart"/>
            <w:r>
              <w:t>tutorials</w:t>
            </w:r>
            <w:proofErr w:type="gramEnd"/>
            <w:r>
              <w:t xml:space="preserve"> with a “future plans” focus.</w:t>
            </w:r>
          </w:p>
          <w:p w:rsidR="00F17A25" w:rsidRDefault="00F17A25" w:rsidP="00F17A25"/>
          <w:p w:rsidR="00F17A25" w:rsidRDefault="00F17A25" w:rsidP="00F17A25">
            <w:r>
              <w:t>HE remote sessions arranged with Y12/13 involving University of Stirling</w:t>
            </w:r>
          </w:p>
          <w:p w:rsidR="00F17A25" w:rsidRDefault="00F17A25" w:rsidP="00F17A25">
            <w:proofErr w:type="gramStart"/>
            <w:r>
              <w:t>and</w:t>
            </w:r>
            <w:proofErr w:type="gramEnd"/>
            <w:r>
              <w:t xml:space="preserve"> Edge Hill University.</w:t>
            </w:r>
          </w:p>
          <w:p w:rsidR="00F17A25" w:rsidRDefault="00F17A25" w:rsidP="00F17A25"/>
          <w:p w:rsidR="00F17A25" w:rsidRDefault="00F17A25" w:rsidP="00F17A25">
            <w:proofErr w:type="gramStart"/>
            <w:r>
              <w:t>forwarded</w:t>
            </w:r>
            <w:proofErr w:type="gramEnd"/>
            <w:r>
              <w:t xml:space="preserve"> to pupils in all year groups as appropriate. Students were made aware of </w:t>
            </w:r>
            <w:r>
              <w:lastRenderedPageBreak/>
              <w:t>work experience and internship opportunities.</w:t>
            </w:r>
          </w:p>
          <w:p w:rsidR="00F17A25" w:rsidRDefault="00F17A25" w:rsidP="00F17A25"/>
          <w:p w:rsidR="00F17A25" w:rsidRDefault="00F17A25" w:rsidP="00F17A25">
            <w:r>
              <w:t>Medical Society linked to Medic Mentor.</w:t>
            </w:r>
          </w:p>
          <w:p w:rsidR="00F17A25" w:rsidRDefault="00F17A25" w:rsidP="00F17A25"/>
          <w:p w:rsidR="00F17A25" w:rsidRDefault="00F17A25" w:rsidP="00F17A25">
            <w:r>
              <w:t>Virtual “Meet the Graduates” conference in December 2020</w:t>
            </w:r>
          </w:p>
          <w:p w:rsidR="00F17A25" w:rsidRDefault="00F17A25" w:rsidP="00F17A25"/>
          <w:p w:rsidR="00F17A25" w:rsidRDefault="00F17A25" w:rsidP="00F17A25">
            <w:r>
              <w:t>8-week programme in place for pupils identified by Heads of Year, in Years 7-10, after school, starting May 11th.</w:t>
            </w:r>
          </w:p>
          <w:p w:rsidR="00F17A25" w:rsidRDefault="00F17A25" w:rsidP="00F17A25"/>
          <w:p w:rsidR="00F17A25" w:rsidRDefault="00F17A25" w:rsidP="00F17A25">
            <w:r>
              <w:t>Independent Careers’ Adviser delivery of the “Looking Forward” session for</w:t>
            </w:r>
          </w:p>
          <w:p w:rsidR="00F17A25" w:rsidRDefault="00F17A25" w:rsidP="00F17A25">
            <w:r>
              <w:t>pupils in Years 9 and 10</w:t>
            </w:r>
          </w:p>
          <w:p w:rsidR="00F17A25" w:rsidRDefault="00F17A25" w:rsidP="00F17A25"/>
          <w:p w:rsidR="00F17A25" w:rsidRDefault="00F17A25" w:rsidP="00F17A25">
            <w:r>
              <w:t>8 careers period 1 sessions continued as normal for all year groups, throughout this academic year, including</w:t>
            </w:r>
          </w:p>
          <w:p w:rsidR="00F17A25" w:rsidRDefault="00F17A25" w:rsidP="00F17A25">
            <w:r>
              <w:t>remotely during lockdown</w:t>
            </w:r>
          </w:p>
          <w:p w:rsidR="00F17A25" w:rsidRDefault="00F17A25" w:rsidP="00F17A25"/>
          <w:p w:rsidR="00F17A25" w:rsidRDefault="00F17A25" w:rsidP="00F17A25">
            <w:r>
              <w:t xml:space="preserve">Resources adapted to suit home working and parents/carers informed of </w:t>
            </w:r>
          </w:p>
          <w:p w:rsidR="00F17A25" w:rsidRDefault="00F17A25" w:rsidP="00F17A25">
            <w:proofErr w:type="gramStart"/>
            <w:r>
              <w:t>themes</w:t>
            </w:r>
            <w:proofErr w:type="gramEnd"/>
            <w:r>
              <w:t xml:space="preserve"> to be covered.</w:t>
            </w:r>
          </w:p>
          <w:p w:rsidR="00F17A25" w:rsidRDefault="00F17A25" w:rsidP="00F17A25"/>
          <w:p w:rsidR="00F17A25" w:rsidRDefault="00F17A25" w:rsidP="00F17A25">
            <w:r>
              <w:t>Priority for careers’ interviews for the second half of the summer term for Year 10 and Year 12 given to</w:t>
            </w:r>
          </w:p>
          <w:p w:rsidR="00B71978" w:rsidRPr="0035522D" w:rsidRDefault="00F17A25" w:rsidP="00F17A25">
            <w:proofErr w:type="gramStart"/>
            <w:r>
              <w:t>disadvantaged</w:t>
            </w:r>
            <w:proofErr w:type="gramEnd"/>
            <w:r>
              <w:t>, bursary and SEND students.</w:t>
            </w:r>
          </w:p>
        </w:tc>
      </w:tr>
      <w:tr w:rsidR="0035522D" w:rsidRPr="0035522D" w:rsidTr="005006ED">
        <w:tc>
          <w:tcPr>
            <w:tcW w:w="3539" w:type="dxa"/>
          </w:tcPr>
          <w:p w:rsidR="0035522D" w:rsidRPr="0035522D" w:rsidRDefault="0035522D" w:rsidP="0035522D">
            <w:pPr>
              <w:spacing w:after="160" w:line="259" w:lineRule="auto"/>
            </w:pPr>
            <w:r w:rsidRPr="0035522D">
              <w:lastRenderedPageBreak/>
              <w:t>Barriers to learning these priorities address</w:t>
            </w:r>
          </w:p>
        </w:tc>
        <w:tc>
          <w:tcPr>
            <w:tcW w:w="5954" w:type="dxa"/>
            <w:gridSpan w:val="2"/>
          </w:tcPr>
          <w:p w:rsidR="0035522D" w:rsidRPr="0035522D" w:rsidRDefault="00B71978" w:rsidP="0035522D">
            <w:pPr>
              <w:spacing w:after="160" w:line="259" w:lineRule="auto"/>
            </w:pPr>
            <w:r w:rsidRPr="00F17A25">
              <w:t xml:space="preserve">B8, </w:t>
            </w:r>
            <w:r w:rsidR="00217903" w:rsidRPr="0054232D">
              <w:t>B10,</w:t>
            </w:r>
            <w:r w:rsidR="00217903">
              <w:t xml:space="preserve"> B11, B12, B13, B14</w:t>
            </w:r>
          </w:p>
        </w:tc>
      </w:tr>
      <w:tr w:rsidR="002564AA" w:rsidRPr="0035522D" w:rsidTr="005006ED">
        <w:tc>
          <w:tcPr>
            <w:tcW w:w="3539" w:type="dxa"/>
          </w:tcPr>
          <w:p w:rsidR="002564AA" w:rsidRPr="002564AA" w:rsidRDefault="002564AA" w:rsidP="002564AA">
            <w:pPr>
              <w:spacing w:after="160" w:line="259" w:lineRule="auto"/>
              <w:rPr>
                <w:b/>
              </w:rPr>
            </w:pPr>
            <w:r w:rsidRPr="002564AA">
              <w:rPr>
                <w:b/>
              </w:rPr>
              <w:t xml:space="preserve">Expenditure to date 23/06/21 </w:t>
            </w:r>
          </w:p>
        </w:tc>
        <w:tc>
          <w:tcPr>
            <w:tcW w:w="5954" w:type="dxa"/>
            <w:gridSpan w:val="2"/>
          </w:tcPr>
          <w:p w:rsidR="002564AA" w:rsidRPr="0035522D" w:rsidRDefault="002564AA" w:rsidP="002564AA">
            <w:r w:rsidRPr="002564AA">
              <w:t>£ 3</w:t>
            </w:r>
            <w:r>
              <w:t>,220</w:t>
            </w:r>
          </w:p>
        </w:tc>
      </w:tr>
    </w:tbl>
    <w:p w:rsidR="0035522D" w:rsidRPr="0035522D" w:rsidRDefault="0035522D" w:rsidP="0035522D">
      <w:pPr>
        <w:rPr>
          <w:b/>
        </w:rPr>
      </w:pPr>
      <w:bookmarkStart w:id="4" w:name="_GoBack"/>
      <w:bookmarkEnd w:id="4"/>
    </w:p>
    <w:tbl>
      <w:tblPr>
        <w:tblStyle w:val="TableGrid"/>
        <w:tblW w:w="0" w:type="auto"/>
        <w:tblInd w:w="-5" w:type="dxa"/>
        <w:tblLook w:val="04A0" w:firstRow="1" w:lastRow="0" w:firstColumn="1" w:lastColumn="0" w:noHBand="0" w:noVBand="1"/>
      </w:tblPr>
      <w:tblGrid>
        <w:gridCol w:w="5812"/>
        <w:gridCol w:w="1495"/>
      </w:tblGrid>
      <w:tr w:rsidR="00F37606" w:rsidTr="00F37606">
        <w:tc>
          <w:tcPr>
            <w:tcW w:w="7307" w:type="dxa"/>
            <w:gridSpan w:val="2"/>
          </w:tcPr>
          <w:p w:rsidR="00F37606" w:rsidRDefault="00F37606" w:rsidP="002564AA">
            <w:pPr>
              <w:pStyle w:val="Heading1"/>
              <w:outlineLvl w:val="0"/>
            </w:pPr>
            <w:r>
              <w:lastRenderedPageBreak/>
              <w:t>Summary Catch-Up Grant Allocation</w:t>
            </w:r>
            <w:r w:rsidR="00754E13">
              <w:t xml:space="preserve"> </w:t>
            </w:r>
            <w:r w:rsidR="002564AA">
              <w:t>Expenditure to Date (23/06/21)</w:t>
            </w:r>
          </w:p>
        </w:tc>
      </w:tr>
      <w:tr w:rsidR="00F37606" w:rsidTr="00F37606">
        <w:tc>
          <w:tcPr>
            <w:tcW w:w="5812" w:type="dxa"/>
          </w:tcPr>
          <w:p w:rsidR="00F37606" w:rsidRDefault="00F37606" w:rsidP="00F37606">
            <w:pPr>
              <w:pStyle w:val="Heading2"/>
              <w:outlineLvl w:val="1"/>
            </w:pPr>
            <w:r>
              <w:t>Strategy</w:t>
            </w:r>
          </w:p>
        </w:tc>
        <w:tc>
          <w:tcPr>
            <w:tcW w:w="1495" w:type="dxa"/>
          </w:tcPr>
          <w:p w:rsidR="00F37606" w:rsidRDefault="00F37606" w:rsidP="00F37606">
            <w:pPr>
              <w:pStyle w:val="Heading2"/>
              <w:outlineLvl w:val="1"/>
            </w:pPr>
            <w:r>
              <w:t>Cost</w:t>
            </w:r>
          </w:p>
        </w:tc>
      </w:tr>
      <w:tr w:rsidR="00F37606" w:rsidTr="00F37606">
        <w:tc>
          <w:tcPr>
            <w:tcW w:w="5812" w:type="dxa"/>
          </w:tcPr>
          <w:p w:rsidR="00F37606" w:rsidRDefault="00F37606" w:rsidP="00F37606">
            <w:pPr>
              <w:pStyle w:val="Heading3"/>
              <w:outlineLvl w:val="2"/>
            </w:pPr>
            <w:r>
              <w:t>Teaching</w:t>
            </w:r>
          </w:p>
        </w:tc>
        <w:tc>
          <w:tcPr>
            <w:tcW w:w="1495" w:type="dxa"/>
          </w:tcPr>
          <w:p w:rsidR="00F37606" w:rsidRDefault="002564AA" w:rsidP="0035522D">
            <w:pPr>
              <w:rPr>
                <w:b/>
              </w:rPr>
            </w:pPr>
            <w:r>
              <w:t>£15,243</w:t>
            </w:r>
          </w:p>
        </w:tc>
      </w:tr>
      <w:tr w:rsidR="00F37606" w:rsidTr="00F37606">
        <w:tc>
          <w:tcPr>
            <w:tcW w:w="5812" w:type="dxa"/>
          </w:tcPr>
          <w:p w:rsidR="00F37606" w:rsidRDefault="00F37606" w:rsidP="00F37606">
            <w:pPr>
              <w:pStyle w:val="Heading3"/>
              <w:outlineLvl w:val="2"/>
            </w:pPr>
            <w:r>
              <w:t>Targeted</w:t>
            </w:r>
          </w:p>
        </w:tc>
        <w:tc>
          <w:tcPr>
            <w:tcW w:w="1495" w:type="dxa"/>
          </w:tcPr>
          <w:p w:rsidR="00F37606" w:rsidRDefault="002564AA" w:rsidP="0035522D">
            <w:pPr>
              <w:rPr>
                <w:b/>
              </w:rPr>
            </w:pPr>
            <w:r>
              <w:t>£35,023</w:t>
            </w:r>
          </w:p>
        </w:tc>
      </w:tr>
      <w:tr w:rsidR="00F37606" w:rsidTr="00F37606">
        <w:tc>
          <w:tcPr>
            <w:tcW w:w="5812" w:type="dxa"/>
          </w:tcPr>
          <w:p w:rsidR="00F37606" w:rsidRDefault="00F37606" w:rsidP="00F37606">
            <w:pPr>
              <w:pStyle w:val="Heading3"/>
              <w:outlineLvl w:val="2"/>
            </w:pPr>
            <w:r>
              <w:t>Wider</w:t>
            </w:r>
          </w:p>
        </w:tc>
        <w:tc>
          <w:tcPr>
            <w:tcW w:w="1495" w:type="dxa"/>
          </w:tcPr>
          <w:p w:rsidR="00F37606" w:rsidRDefault="002564AA" w:rsidP="0035522D">
            <w:pPr>
              <w:rPr>
                <w:b/>
              </w:rPr>
            </w:pPr>
            <w:r>
              <w:t>£3,220</w:t>
            </w:r>
          </w:p>
        </w:tc>
      </w:tr>
      <w:tr w:rsidR="00F37606" w:rsidTr="00F37606">
        <w:tc>
          <w:tcPr>
            <w:tcW w:w="5812" w:type="dxa"/>
          </w:tcPr>
          <w:p w:rsidR="00F37606" w:rsidRDefault="00F37606" w:rsidP="00F37606">
            <w:pPr>
              <w:pStyle w:val="Heading3"/>
              <w:jc w:val="right"/>
              <w:outlineLvl w:val="2"/>
            </w:pPr>
            <w:r>
              <w:t>Total</w:t>
            </w:r>
          </w:p>
        </w:tc>
        <w:tc>
          <w:tcPr>
            <w:tcW w:w="1495" w:type="dxa"/>
          </w:tcPr>
          <w:p w:rsidR="00F37606" w:rsidRDefault="002564AA" w:rsidP="0035522D">
            <w:pPr>
              <w:rPr>
                <w:b/>
              </w:rPr>
            </w:pPr>
            <w:r>
              <w:rPr>
                <w:b/>
              </w:rPr>
              <w:t>£53,486</w:t>
            </w:r>
          </w:p>
        </w:tc>
      </w:tr>
      <w:tr w:rsidR="00F37606" w:rsidTr="00F37606">
        <w:tc>
          <w:tcPr>
            <w:tcW w:w="5812" w:type="dxa"/>
          </w:tcPr>
          <w:p w:rsidR="00F37606" w:rsidRDefault="00F37606" w:rsidP="00F37606">
            <w:pPr>
              <w:pStyle w:val="Heading3"/>
              <w:jc w:val="right"/>
              <w:outlineLvl w:val="2"/>
            </w:pPr>
            <w:r>
              <w:t>Allocation</w:t>
            </w:r>
          </w:p>
        </w:tc>
        <w:tc>
          <w:tcPr>
            <w:tcW w:w="1495" w:type="dxa"/>
          </w:tcPr>
          <w:p w:rsidR="00F37606" w:rsidRDefault="002564AA" w:rsidP="0035522D">
            <w:pPr>
              <w:rPr>
                <w:b/>
              </w:rPr>
            </w:pPr>
            <w:r>
              <w:rPr>
                <w:b/>
              </w:rPr>
              <w:t>£73,000</w:t>
            </w:r>
          </w:p>
        </w:tc>
      </w:tr>
    </w:tbl>
    <w:p w:rsidR="0035522D" w:rsidRPr="0035522D" w:rsidRDefault="0035522D" w:rsidP="0035522D">
      <w:pPr>
        <w:rPr>
          <w:b/>
        </w:rPr>
      </w:pPr>
    </w:p>
    <w:p w:rsidR="00484ABC" w:rsidRDefault="00484ABC">
      <w:r>
        <w:br w:type="page"/>
      </w:r>
    </w:p>
    <w:p w:rsidR="00484ABC" w:rsidRDefault="00484ABC">
      <w:pPr>
        <w:sectPr w:rsidR="00484ABC">
          <w:footerReference w:type="default" r:id="rId8"/>
          <w:headerReference w:type="first" r:id="rId9"/>
          <w:pgSz w:w="11906" w:h="16838"/>
          <w:pgMar w:top="1134" w:right="1276" w:bottom="1134" w:left="1134" w:header="709" w:footer="709" w:gutter="0"/>
          <w:cols w:space="720"/>
          <w:titlePg/>
        </w:sectPr>
      </w:pPr>
    </w:p>
    <w:p w:rsidR="00F771EB" w:rsidRDefault="00F771EB" w:rsidP="00F771EB">
      <w:pPr>
        <w:pStyle w:val="Heading1"/>
      </w:pPr>
      <w:r>
        <w:lastRenderedPageBreak/>
        <w:t>Appendix 1</w:t>
      </w:r>
    </w:p>
    <w:p w:rsidR="00184C2B" w:rsidRDefault="00184C2B" w:rsidP="00184C2B">
      <w:pPr>
        <w:jc w:val="center"/>
        <w:rPr>
          <w:b/>
          <w:bCs/>
          <w:sz w:val="28"/>
          <w:szCs w:val="28"/>
          <w:u w:val="single"/>
        </w:rPr>
      </w:pPr>
      <w:r w:rsidRPr="007B3389">
        <w:rPr>
          <w:b/>
          <w:bCs/>
          <w:sz w:val="28"/>
          <w:szCs w:val="28"/>
          <w:u w:val="single"/>
        </w:rPr>
        <w:t>CATCH-UP PROGRAMME YEARS 7-1</w:t>
      </w:r>
      <w:r>
        <w:rPr>
          <w:b/>
          <w:bCs/>
          <w:sz w:val="28"/>
          <w:szCs w:val="28"/>
          <w:u w:val="single"/>
        </w:rPr>
        <w:t>0</w:t>
      </w:r>
    </w:p>
    <w:p w:rsidR="00184C2B" w:rsidRPr="00275B3D" w:rsidRDefault="00184C2B" w:rsidP="00184C2B">
      <w:pPr>
        <w:pStyle w:val="ListParagraph"/>
        <w:numPr>
          <w:ilvl w:val="0"/>
          <w:numId w:val="5"/>
        </w:numPr>
        <w:rPr>
          <w:i/>
          <w:iCs/>
        </w:rPr>
      </w:pPr>
      <w:r w:rsidRPr="00275B3D">
        <w:rPr>
          <w:i/>
          <w:iCs/>
        </w:rPr>
        <w:t>Suggested 8-week programme.</w:t>
      </w:r>
    </w:p>
    <w:p w:rsidR="00184C2B" w:rsidRPr="00275B3D" w:rsidRDefault="00184C2B" w:rsidP="00184C2B">
      <w:pPr>
        <w:pStyle w:val="ListParagraph"/>
        <w:numPr>
          <w:ilvl w:val="0"/>
          <w:numId w:val="5"/>
        </w:numPr>
        <w:rPr>
          <w:i/>
          <w:iCs/>
        </w:rPr>
      </w:pPr>
      <w:r w:rsidRPr="00275B3D">
        <w:rPr>
          <w:i/>
          <w:iCs/>
        </w:rPr>
        <w:t>Years 7-10 on the same day in Zone - e.g., Thursday after school (3.30 – 4.30)</w:t>
      </w:r>
    </w:p>
    <w:p w:rsidR="00184C2B" w:rsidRPr="00275B3D" w:rsidRDefault="00184C2B" w:rsidP="00184C2B">
      <w:pPr>
        <w:pStyle w:val="ListParagraph"/>
        <w:numPr>
          <w:ilvl w:val="0"/>
          <w:numId w:val="5"/>
        </w:numPr>
        <w:rPr>
          <w:i/>
          <w:iCs/>
        </w:rPr>
      </w:pPr>
      <w:r w:rsidRPr="00275B3D">
        <w:rPr>
          <w:i/>
          <w:iCs/>
        </w:rPr>
        <w:t>Volunteers work in teams of 2</w:t>
      </w:r>
      <w:r>
        <w:rPr>
          <w:i/>
          <w:iCs/>
        </w:rPr>
        <w:t>/3</w:t>
      </w:r>
      <w:r w:rsidRPr="00275B3D">
        <w:rPr>
          <w:i/>
          <w:iCs/>
        </w:rPr>
        <w:t xml:space="preserve"> – CAROUSEL throughout the 8 weeks.</w:t>
      </w:r>
    </w:p>
    <w:p w:rsidR="00184C2B" w:rsidRPr="00275B3D" w:rsidRDefault="00184C2B" w:rsidP="00184C2B">
      <w:pPr>
        <w:pStyle w:val="ListParagraph"/>
        <w:numPr>
          <w:ilvl w:val="0"/>
          <w:numId w:val="5"/>
        </w:numPr>
        <w:rPr>
          <w:i/>
          <w:iCs/>
        </w:rPr>
      </w:pPr>
      <w:r w:rsidRPr="00275B3D">
        <w:rPr>
          <w:i/>
          <w:iCs/>
        </w:rPr>
        <w:t>Baseline to be carried out first session.</w:t>
      </w:r>
    </w:p>
    <w:p w:rsidR="00184C2B" w:rsidRPr="00275B3D" w:rsidRDefault="00184C2B" w:rsidP="00184C2B">
      <w:pPr>
        <w:pStyle w:val="ListParagraph"/>
        <w:numPr>
          <w:ilvl w:val="0"/>
          <w:numId w:val="5"/>
        </w:numPr>
        <w:rPr>
          <w:i/>
          <w:iCs/>
        </w:rPr>
      </w:pPr>
      <w:r w:rsidRPr="00275B3D">
        <w:rPr>
          <w:i/>
          <w:iCs/>
        </w:rPr>
        <w:t>Refreshments to be provided for each session.</w:t>
      </w:r>
    </w:p>
    <w:p w:rsidR="00184C2B" w:rsidRPr="00275B3D" w:rsidRDefault="00184C2B" w:rsidP="00184C2B">
      <w:pPr>
        <w:pStyle w:val="ListParagraph"/>
        <w:rPr>
          <w:i/>
          <w:iCs/>
        </w:rPr>
      </w:pPr>
    </w:p>
    <w:tbl>
      <w:tblPr>
        <w:tblStyle w:val="TableGrid"/>
        <w:tblW w:w="0" w:type="auto"/>
        <w:tblInd w:w="562" w:type="dxa"/>
        <w:tblLook w:val="04A0" w:firstRow="1" w:lastRow="0" w:firstColumn="1" w:lastColumn="0" w:noHBand="0" w:noVBand="1"/>
      </w:tblPr>
      <w:tblGrid>
        <w:gridCol w:w="984"/>
        <w:gridCol w:w="1712"/>
        <w:gridCol w:w="1712"/>
        <w:gridCol w:w="1712"/>
        <w:gridCol w:w="1711"/>
        <w:gridCol w:w="1620"/>
        <w:gridCol w:w="1499"/>
        <w:gridCol w:w="1282"/>
        <w:gridCol w:w="1614"/>
      </w:tblGrid>
      <w:tr w:rsidR="00184C2B" w:rsidRPr="00EA6740" w:rsidTr="003623AC">
        <w:tc>
          <w:tcPr>
            <w:tcW w:w="984" w:type="dxa"/>
          </w:tcPr>
          <w:p w:rsidR="00184C2B" w:rsidRPr="00541065" w:rsidRDefault="00184C2B" w:rsidP="003623AC">
            <w:pPr>
              <w:pStyle w:val="ListParagraph"/>
              <w:ind w:left="0"/>
              <w:rPr>
                <w:b/>
                <w:bCs/>
                <w:sz w:val="20"/>
                <w:szCs w:val="20"/>
                <w:u w:val="single"/>
              </w:rPr>
            </w:pPr>
            <w:r w:rsidRPr="00541065">
              <w:rPr>
                <w:b/>
                <w:bCs/>
                <w:sz w:val="20"/>
                <w:szCs w:val="20"/>
                <w:u w:val="single"/>
              </w:rPr>
              <w:t>YEAR GROUP</w:t>
            </w:r>
          </w:p>
        </w:tc>
        <w:tc>
          <w:tcPr>
            <w:tcW w:w="1712" w:type="dxa"/>
          </w:tcPr>
          <w:p w:rsidR="00184C2B" w:rsidRPr="00541065" w:rsidRDefault="00184C2B" w:rsidP="003623AC">
            <w:pPr>
              <w:pStyle w:val="ListParagraph"/>
              <w:ind w:left="0"/>
              <w:rPr>
                <w:b/>
                <w:bCs/>
                <w:sz w:val="20"/>
                <w:szCs w:val="20"/>
                <w:u w:val="single"/>
              </w:rPr>
            </w:pPr>
            <w:r w:rsidRPr="00541065">
              <w:rPr>
                <w:b/>
                <w:bCs/>
                <w:sz w:val="20"/>
                <w:szCs w:val="20"/>
                <w:u w:val="single"/>
              </w:rPr>
              <w:t>6</w:t>
            </w:r>
            <w:r w:rsidRPr="00541065">
              <w:rPr>
                <w:b/>
                <w:bCs/>
                <w:sz w:val="20"/>
                <w:szCs w:val="20"/>
                <w:u w:val="single"/>
                <w:vertAlign w:val="superscript"/>
              </w:rPr>
              <w:t>TH</w:t>
            </w:r>
            <w:r w:rsidRPr="00541065">
              <w:rPr>
                <w:b/>
                <w:bCs/>
                <w:sz w:val="20"/>
                <w:szCs w:val="20"/>
                <w:u w:val="single"/>
              </w:rPr>
              <w:t xml:space="preserve"> MAY</w:t>
            </w:r>
          </w:p>
        </w:tc>
        <w:tc>
          <w:tcPr>
            <w:tcW w:w="1712" w:type="dxa"/>
          </w:tcPr>
          <w:p w:rsidR="00184C2B" w:rsidRPr="00541065" w:rsidRDefault="00184C2B" w:rsidP="003623AC">
            <w:pPr>
              <w:pStyle w:val="ListParagraph"/>
              <w:ind w:left="0"/>
              <w:rPr>
                <w:b/>
                <w:bCs/>
                <w:sz w:val="20"/>
                <w:szCs w:val="20"/>
                <w:u w:val="single"/>
              </w:rPr>
            </w:pPr>
            <w:r w:rsidRPr="00541065">
              <w:rPr>
                <w:b/>
                <w:bCs/>
                <w:sz w:val="20"/>
                <w:szCs w:val="20"/>
                <w:u w:val="single"/>
              </w:rPr>
              <w:t>13</w:t>
            </w:r>
            <w:r w:rsidRPr="00541065">
              <w:rPr>
                <w:b/>
                <w:bCs/>
                <w:sz w:val="20"/>
                <w:szCs w:val="20"/>
                <w:u w:val="single"/>
                <w:vertAlign w:val="superscript"/>
              </w:rPr>
              <w:t>TH</w:t>
            </w:r>
            <w:r w:rsidRPr="00541065">
              <w:rPr>
                <w:b/>
                <w:bCs/>
                <w:sz w:val="20"/>
                <w:szCs w:val="20"/>
                <w:u w:val="single"/>
              </w:rPr>
              <w:t xml:space="preserve"> MAY</w:t>
            </w:r>
          </w:p>
        </w:tc>
        <w:tc>
          <w:tcPr>
            <w:tcW w:w="1712" w:type="dxa"/>
          </w:tcPr>
          <w:p w:rsidR="00184C2B" w:rsidRPr="00541065" w:rsidRDefault="00184C2B" w:rsidP="003623AC">
            <w:pPr>
              <w:pStyle w:val="ListParagraph"/>
              <w:ind w:left="0"/>
              <w:rPr>
                <w:b/>
                <w:bCs/>
                <w:sz w:val="20"/>
                <w:szCs w:val="20"/>
                <w:u w:val="single"/>
              </w:rPr>
            </w:pPr>
            <w:r w:rsidRPr="00541065">
              <w:rPr>
                <w:b/>
                <w:bCs/>
                <w:sz w:val="20"/>
                <w:szCs w:val="20"/>
                <w:u w:val="single"/>
              </w:rPr>
              <w:t>20</w:t>
            </w:r>
            <w:r w:rsidRPr="00541065">
              <w:rPr>
                <w:b/>
                <w:bCs/>
                <w:sz w:val="20"/>
                <w:szCs w:val="20"/>
                <w:u w:val="single"/>
                <w:vertAlign w:val="superscript"/>
              </w:rPr>
              <w:t>TH</w:t>
            </w:r>
            <w:r w:rsidRPr="00541065">
              <w:rPr>
                <w:b/>
                <w:bCs/>
                <w:sz w:val="20"/>
                <w:szCs w:val="20"/>
                <w:u w:val="single"/>
              </w:rPr>
              <w:t xml:space="preserve"> MAY</w:t>
            </w:r>
          </w:p>
        </w:tc>
        <w:tc>
          <w:tcPr>
            <w:tcW w:w="1251" w:type="dxa"/>
          </w:tcPr>
          <w:p w:rsidR="00184C2B" w:rsidRPr="00541065" w:rsidRDefault="00184C2B" w:rsidP="003623AC">
            <w:pPr>
              <w:pStyle w:val="ListParagraph"/>
              <w:ind w:left="0"/>
              <w:rPr>
                <w:b/>
                <w:bCs/>
                <w:sz w:val="20"/>
                <w:szCs w:val="20"/>
                <w:u w:val="single"/>
              </w:rPr>
            </w:pPr>
            <w:r w:rsidRPr="00541065">
              <w:rPr>
                <w:b/>
                <w:bCs/>
                <w:sz w:val="20"/>
                <w:szCs w:val="20"/>
                <w:u w:val="single"/>
              </w:rPr>
              <w:t>27</w:t>
            </w:r>
            <w:r w:rsidRPr="00541065">
              <w:rPr>
                <w:b/>
                <w:bCs/>
                <w:sz w:val="20"/>
                <w:szCs w:val="20"/>
                <w:u w:val="single"/>
                <w:vertAlign w:val="superscript"/>
              </w:rPr>
              <w:t>TH</w:t>
            </w:r>
            <w:r w:rsidRPr="00541065">
              <w:rPr>
                <w:b/>
                <w:bCs/>
                <w:sz w:val="20"/>
                <w:szCs w:val="20"/>
                <w:u w:val="single"/>
              </w:rPr>
              <w:t xml:space="preserve"> MAY</w:t>
            </w:r>
          </w:p>
        </w:tc>
        <w:tc>
          <w:tcPr>
            <w:tcW w:w="1620" w:type="dxa"/>
          </w:tcPr>
          <w:p w:rsidR="00184C2B" w:rsidRPr="00541065" w:rsidRDefault="00184C2B" w:rsidP="003623AC">
            <w:pPr>
              <w:pStyle w:val="ListParagraph"/>
              <w:ind w:left="0"/>
              <w:rPr>
                <w:b/>
                <w:bCs/>
                <w:sz w:val="20"/>
                <w:szCs w:val="20"/>
                <w:u w:val="single"/>
              </w:rPr>
            </w:pPr>
            <w:r w:rsidRPr="00541065">
              <w:rPr>
                <w:b/>
                <w:bCs/>
                <w:sz w:val="20"/>
                <w:szCs w:val="20"/>
                <w:u w:val="single"/>
              </w:rPr>
              <w:t>3</w:t>
            </w:r>
            <w:r w:rsidRPr="00541065">
              <w:rPr>
                <w:b/>
                <w:bCs/>
                <w:sz w:val="20"/>
                <w:szCs w:val="20"/>
                <w:u w:val="single"/>
                <w:vertAlign w:val="superscript"/>
              </w:rPr>
              <w:t>RD</w:t>
            </w:r>
            <w:r w:rsidRPr="00541065">
              <w:rPr>
                <w:b/>
                <w:bCs/>
                <w:sz w:val="20"/>
                <w:szCs w:val="20"/>
                <w:u w:val="single"/>
              </w:rPr>
              <w:t xml:space="preserve"> JUNE</w:t>
            </w:r>
          </w:p>
        </w:tc>
        <w:tc>
          <w:tcPr>
            <w:tcW w:w="1499" w:type="dxa"/>
          </w:tcPr>
          <w:p w:rsidR="00184C2B" w:rsidRPr="00541065" w:rsidRDefault="00184C2B" w:rsidP="003623AC">
            <w:pPr>
              <w:pStyle w:val="ListParagraph"/>
              <w:ind w:left="0"/>
              <w:rPr>
                <w:b/>
                <w:bCs/>
                <w:sz w:val="20"/>
                <w:szCs w:val="20"/>
                <w:u w:val="single"/>
              </w:rPr>
            </w:pPr>
            <w:r w:rsidRPr="00541065">
              <w:rPr>
                <w:b/>
                <w:bCs/>
                <w:sz w:val="20"/>
                <w:szCs w:val="20"/>
                <w:u w:val="single"/>
              </w:rPr>
              <w:t>10</w:t>
            </w:r>
            <w:r w:rsidRPr="00541065">
              <w:rPr>
                <w:b/>
                <w:bCs/>
                <w:sz w:val="20"/>
                <w:szCs w:val="20"/>
                <w:u w:val="single"/>
                <w:vertAlign w:val="superscript"/>
              </w:rPr>
              <w:t>TH</w:t>
            </w:r>
            <w:r w:rsidRPr="00541065">
              <w:rPr>
                <w:b/>
                <w:bCs/>
                <w:sz w:val="20"/>
                <w:szCs w:val="20"/>
                <w:u w:val="single"/>
              </w:rPr>
              <w:t xml:space="preserve"> JUNE</w:t>
            </w:r>
          </w:p>
        </w:tc>
        <w:tc>
          <w:tcPr>
            <w:tcW w:w="1282" w:type="dxa"/>
          </w:tcPr>
          <w:p w:rsidR="00184C2B" w:rsidRPr="00541065" w:rsidRDefault="00184C2B" w:rsidP="003623AC">
            <w:pPr>
              <w:pStyle w:val="ListParagraph"/>
              <w:ind w:left="0"/>
              <w:rPr>
                <w:b/>
                <w:bCs/>
                <w:sz w:val="20"/>
                <w:szCs w:val="20"/>
                <w:u w:val="single"/>
              </w:rPr>
            </w:pPr>
            <w:r w:rsidRPr="00541065">
              <w:rPr>
                <w:b/>
                <w:bCs/>
                <w:sz w:val="20"/>
                <w:szCs w:val="20"/>
                <w:u w:val="single"/>
              </w:rPr>
              <w:t>17</w:t>
            </w:r>
            <w:r w:rsidRPr="00541065">
              <w:rPr>
                <w:b/>
                <w:bCs/>
                <w:sz w:val="20"/>
                <w:szCs w:val="20"/>
                <w:u w:val="single"/>
                <w:vertAlign w:val="superscript"/>
              </w:rPr>
              <w:t>TH</w:t>
            </w:r>
            <w:r w:rsidRPr="00541065">
              <w:rPr>
                <w:b/>
                <w:bCs/>
                <w:sz w:val="20"/>
                <w:szCs w:val="20"/>
                <w:u w:val="single"/>
              </w:rPr>
              <w:t xml:space="preserve"> JUNE</w:t>
            </w:r>
          </w:p>
        </w:tc>
        <w:tc>
          <w:tcPr>
            <w:tcW w:w="1614" w:type="dxa"/>
          </w:tcPr>
          <w:p w:rsidR="00184C2B" w:rsidRPr="00541065" w:rsidRDefault="00184C2B" w:rsidP="003623AC">
            <w:pPr>
              <w:pStyle w:val="ListParagraph"/>
              <w:ind w:left="0"/>
              <w:rPr>
                <w:b/>
                <w:bCs/>
                <w:sz w:val="20"/>
                <w:szCs w:val="20"/>
                <w:u w:val="single"/>
              </w:rPr>
            </w:pPr>
            <w:r w:rsidRPr="00541065">
              <w:rPr>
                <w:b/>
                <w:bCs/>
                <w:sz w:val="20"/>
                <w:szCs w:val="20"/>
                <w:u w:val="single"/>
              </w:rPr>
              <w:t>24</w:t>
            </w:r>
            <w:r w:rsidRPr="00541065">
              <w:rPr>
                <w:b/>
                <w:bCs/>
                <w:sz w:val="20"/>
                <w:szCs w:val="20"/>
                <w:u w:val="single"/>
                <w:vertAlign w:val="superscript"/>
              </w:rPr>
              <w:t>TH</w:t>
            </w:r>
            <w:r w:rsidRPr="00541065">
              <w:rPr>
                <w:b/>
                <w:bCs/>
                <w:sz w:val="20"/>
                <w:szCs w:val="20"/>
                <w:u w:val="single"/>
              </w:rPr>
              <w:t xml:space="preserve"> JUNE</w:t>
            </w:r>
          </w:p>
        </w:tc>
      </w:tr>
      <w:tr w:rsidR="00184C2B" w:rsidRPr="00EA6740" w:rsidTr="003623AC">
        <w:tc>
          <w:tcPr>
            <w:tcW w:w="984" w:type="dxa"/>
          </w:tcPr>
          <w:p w:rsidR="00184C2B" w:rsidRPr="00541065" w:rsidRDefault="00184C2B" w:rsidP="003623AC">
            <w:pPr>
              <w:pStyle w:val="ListParagraph"/>
              <w:ind w:left="0"/>
              <w:rPr>
                <w:sz w:val="40"/>
                <w:szCs w:val="40"/>
              </w:rPr>
            </w:pPr>
            <w:r w:rsidRPr="00541065">
              <w:rPr>
                <w:sz w:val="40"/>
                <w:szCs w:val="40"/>
              </w:rPr>
              <w:t>Y7</w:t>
            </w:r>
          </w:p>
        </w:tc>
        <w:tc>
          <w:tcPr>
            <w:tcW w:w="1712" w:type="dxa"/>
          </w:tcPr>
          <w:p w:rsidR="00184C2B" w:rsidRPr="00275B3D" w:rsidRDefault="00184C2B" w:rsidP="003623AC">
            <w:pPr>
              <w:pStyle w:val="ListParagraph"/>
              <w:ind w:left="0"/>
              <w:rPr>
                <w:i/>
                <w:iCs/>
                <w:color w:val="FF0000"/>
              </w:rPr>
            </w:pPr>
            <w:r w:rsidRPr="00275B3D">
              <w:rPr>
                <w:i/>
                <w:iCs/>
                <w:color w:val="FF0000"/>
              </w:rPr>
              <w:t>GROWTH MINDSET/</w:t>
            </w:r>
          </w:p>
          <w:p w:rsidR="00184C2B" w:rsidRPr="00541065" w:rsidRDefault="00184C2B" w:rsidP="003623AC">
            <w:pPr>
              <w:pStyle w:val="ListParagraph"/>
              <w:ind w:left="0"/>
              <w:rPr>
                <w:i/>
                <w:iCs/>
              </w:rPr>
            </w:pPr>
            <w:r w:rsidRPr="00275B3D">
              <w:rPr>
                <w:i/>
                <w:iCs/>
                <w:color w:val="FF0000"/>
              </w:rPr>
              <w:t>MOTIVATION</w:t>
            </w:r>
          </w:p>
        </w:tc>
        <w:tc>
          <w:tcPr>
            <w:tcW w:w="1712" w:type="dxa"/>
          </w:tcPr>
          <w:p w:rsidR="00184C2B" w:rsidRPr="00541065" w:rsidRDefault="00184C2B" w:rsidP="003623AC">
            <w:pPr>
              <w:pStyle w:val="ListParagraph"/>
              <w:ind w:left="0"/>
              <w:rPr>
                <w:i/>
                <w:iCs/>
              </w:rPr>
            </w:pPr>
            <w:r w:rsidRPr="00275B3D">
              <w:rPr>
                <w:i/>
                <w:iCs/>
                <w:color w:val="0070C0"/>
              </w:rPr>
              <w:t>WELL-BEING 1</w:t>
            </w:r>
          </w:p>
        </w:tc>
        <w:tc>
          <w:tcPr>
            <w:tcW w:w="1712" w:type="dxa"/>
          </w:tcPr>
          <w:p w:rsidR="00184C2B" w:rsidRPr="00275B3D" w:rsidRDefault="00184C2B" w:rsidP="003623AC">
            <w:pPr>
              <w:pStyle w:val="ListParagraph"/>
              <w:ind w:left="0"/>
              <w:rPr>
                <w:i/>
                <w:iCs/>
                <w:color w:val="00B050"/>
              </w:rPr>
            </w:pPr>
            <w:r w:rsidRPr="00275B3D">
              <w:rPr>
                <w:i/>
                <w:iCs/>
                <w:color w:val="00B050"/>
              </w:rPr>
              <w:t>SPORT/EXERCISE</w:t>
            </w:r>
          </w:p>
          <w:p w:rsidR="00184C2B" w:rsidRPr="00275B3D" w:rsidRDefault="00184C2B" w:rsidP="003623AC">
            <w:pPr>
              <w:pStyle w:val="ListParagraph"/>
              <w:ind w:left="0"/>
              <w:rPr>
                <w:i/>
                <w:iCs/>
                <w:color w:val="00B050"/>
              </w:rPr>
            </w:pPr>
          </w:p>
        </w:tc>
        <w:tc>
          <w:tcPr>
            <w:tcW w:w="1251" w:type="dxa"/>
          </w:tcPr>
          <w:p w:rsidR="00184C2B" w:rsidRPr="00275B3D" w:rsidRDefault="00184C2B" w:rsidP="003623AC">
            <w:pPr>
              <w:pStyle w:val="ListParagraph"/>
              <w:ind w:left="0"/>
              <w:rPr>
                <w:i/>
                <w:iCs/>
                <w:color w:val="7030A0"/>
              </w:rPr>
            </w:pPr>
            <w:r w:rsidRPr="00275B3D">
              <w:rPr>
                <w:i/>
                <w:iCs/>
                <w:color w:val="7030A0"/>
              </w:rPr>
              <w:t xml:space="preserve">STUDY </w:t>
            </w:r>
          </w:p>
          <w:p w:rsidR="00184C2B" w:rsidRPr="00541065" w:rsidRDefault="00184C2B" w:rsidP="003623AC">
            <w:pPr>
              <w:pStyle w:val="ListParagraph"/>
              <w:ind w:left="0"/>
              <w:rPr>
                <w:i/>
                <w:iCs/>
              </w:rPr>
            </w:pPr>
            <w:r w:rsidRPr="00275B3D">
              <w:rPr>
                <w:i/>
                <w:iCs/>
                <w:color w:val="7030A0"/>
              </w:rPr>
              <w:t>SUPPORT 1</w:t>
            </w:r>
          </w:p>
        </w:tc>
        <w:tc>
          <w:tcPr>
            <w:tcW w:w="1620" w:type="dxa"/>
          </w:tcPr>
          <w:p w:rsidR="00184C2B" w:rsidRPr="00541065" w:rsidRDefault="00184C2B" w:rsidP="003623AC">
            <w:pPr>
              <w:pStyle w:val="ListParagraph"/>
              <w:ind w:left="0"/>
              <w:rPr>
                <w:i/>
                <w:iCs/>
              </w:rPr>
            </w:pPr>
            <w:r w:rsidRPr="00275B3D">
              <w:rPr>
                <w:i/>
                <w:iCs/>
                <w:color w:val="FFC000" w:themeColor="accent4"/>
              </w:rPr>
              <w:t>STUDY SUPPORT 2</w:t>
            </w:r>
          </w:p>
        </w:tc>
        <w:tc>
          <w:tcPr>
            <w:tcW w:w="1499" w:type="dxa"/>
          </w:tcPr>
          <w:p w:rsidR="00184C2B" w:rsidRPr="00541065" w:rsidRDefault="00184C2B" w:rsidP="003623AC">
            <w:pPr>
              <w:pStyle w:val="ListParagraph"/>
              <w:ind w:left="0"/>
              <w:rPr>
                <w:i/>
                <w:iCs/>
              </w:rPr>
            </w:pPr>
            <w:r w:rsidRPr="00275B3D">
              <w:rPr>
                <w:i/>
                <w:iCs/>
                <w:color w:val="C45911" w:themeColor="accent2" w:themeShade="BF"/>
              </w:rPr>
              <w:t>WELL-BEING 2</w:t>
            </w:r>
          </w:p>
        </w:tc>
        <w:tc>
          <w:tcPr>
            <w:tcW w:w="1282" w:type="dxa"/>
          </w:tcPr>
          <w:p w:rsidR="00184C2B" w:rsidRPr="00541065" w:rsidRDefault="00184C2B" w:rsidP="003623AC">
            <w:pPr>
              <w:pStyle w:val="ListParagraph"/>
              <w:ind w:left="0"/>
              <w:rPr>
                <w:i/>
                <w:iCs/>
              </w:rPr>
            </w:pPr>
            <w:r w:rsidRPr="00541065">
              <w:rPr>
                <w:i/>
                <w:iCs/>
              </w:rPr>
              <w:t>TEAM BUILDING</w:t>
            </w:r>
          </w:p>
        </w:tc>
        <w:tc>
          <w:tcPr>
            <w:tcW w:w="1614" w:type="dxa"/>
          </w:tcPr>
          <w:p w:rsidR="00184C2B" w:rsidRPr="00275B3D" w:rsidRDefault="00184C2B" w:rsidP="003623AC">
            <w:pPr>
              <w:pStyle w:val="ListParagraph"/>
              <w:ind w:left="0"/>
              <w:rPr>
                <w:i/>
                <w:iCs/>
                <w:color w:val="7B7B7B" w:themeColor="accent3" w:themeShade="BF"/>
              </w:rPr>
            </w:pPr>
            <w:r w:rsidRPr="00275B3D">
              <w:rPr>
                <w:i/>
                <w:iCs/>
                <w:color w:val="7B7B7B" w:themeColor="accent3" w:themeShade="BF"/>
              </w:rPr>
              <w:t>LOOKING FORWARD</w:t>
            </w:r>
          </w:p>
        </w:tc>
      </w:tr>
      <w:tr w:rsidR="00184C2B" w:rsidRPr="00EA6740" w:rsidTr="003623AC">
        <w:tc>
          <w:tcPr>
            <w:tcW w:w="984" w:type="dxa"/>
          </w:tcPr>
          <w:p w:rsidR="00184C2B" w:rsidRPr="00541065" w:rsidRDefault="00184C2B" w:rsidP="003623AC">
            <w:pPr>
              <w:pStyle w:val="ListParagraph"/>
              <w:ind w:left="0"/>
              <w:rPr>
                <w:sz w:val="40"/>
                <w:szCs w:val="40"/>
              </w:rPr>
            </w:pPr>
            <w:r w:rsidRPr="00541065">
              <w:rPr>
                <w:sz w:val="40"/>
                <w:szCs w:val="40"/>
              </w:rPr>
              <w:t>Y8</w:t>
            </w:r>
          </w:p>
        </w:tc>
        <w:tc>
          <w:tcPr>
            <w:tcW w:w="1712" w:type="dxa"/>
          </w:tcPr>
          <w:p w:rsidR="00184C2B" w:rsidRPr="00275B3D" w:rsidRDefault="00184C2B" w:rsidP="003623AC">
            <w:pPr>
              <w:pStyle w:val="ListParagraph"/>
              <w:ind w:left="0"/>
              <w:rPr>
                <w:i/>
                <w:iCs/>
                <w:color w:val="0070C0"/>
              </w:rPr>
            </w:pPr>
            <w:r w:rsidRPr="00275B3D">
              <w:rPr>
                <w:i/>
                <w:iCs/>
                <w:color w:val="0070C0"/>
              </w:rPr>
              <w:t>WELL-BEING 1</w:t>
            </w:r>
          </w:p>
        </w:tc>
        <w:tc>
          <w:tcPr>
            <w:tcW w:w="1712" w:type="dxa"/>
          </w:tcPr>
          <w:p w:rsidR="00184C2B" w:rsidRPr="00275B3D" w:rsidRDefault="00184C2B" w:rsidP="003623AC">
            <w:pPr>
              <w:pStyle w:val="ListParagraph"/>
              <w:ind w:left="0"/>
              <w:rPr>
                <w:i/>
                <w:iCs/>
                <w:color w:val="FF0000"/>
              </w:rPr>
            </w:pPr>
            <w:r w:rsidRPr="00275B3D">
              <w:rPr>
                <w:i/>
                <w:iCs/>
                <w:color w:val="FF0000"/>
              </w:rPr>
              <w:t>GROWTH MINDSET/</w:t>
            </w:r>
          </w:p>
          <w:p w:rsidR="00184C2B" w:rsidRPr="00541065" w:rsidRDefault="00184C2B" w:rsidP="003623AC">
            <w:pPr>
              <w:pStyle w:val="ListParagraph"/>
              <w:ind w:left="0"/>
              <w:rPr>
                <w:i/>
                <w:iCs/>
              </w:rPr>
            </w:pPr>
            <w:r w:rsidRPr="00275B3D">
              <w:rPr>
                <w:i/>
                <w:iCs/>
                <w:color w:val="FF0000"/>
              </w:rPr>
              <w:t>MOTIVATION</w:t>
            </w:r>
          </w:p>
        </w:tc>
        <w:tc>
          <w:tcPr>
            <w:tcW w:w="1712" w:type="dxa"/>
          </w:tcPr>
          <w:p w:rsidR="00184C2B" w:rsidRPr="00275B3D" w:rsidRDefault="00184C2B" w:rsidP="003623AC">
            <w:pPr>
              <w:rPr>
                <w:i/>
                <w:iCs/>
                <w:color w:val="7030A0"/>
              </w:rPr>
            </w:pPr>
            <w:r w:rsidRPr="00275B3D">
              <w:rPr>
                <w:i/>
                <w:iCs/>
                <w:color w:val="7030A0"/>
              </w:rPr>
              <w:t xml:space="preserve">STUDY </w:t>
            </w:r>
          </w:p>
          <w:p w:rsidR="00184C2B" w:rsidRPr="00541065" w:rsidRDefault="00184C2B" w:rsidP="003623AC">
            <w:pPr>
              <w:rPr>
                <w:i/>
                <w:iCs/>
              </w:rPr>
            </w:pPr>
            <w:r w:rsidRPr="00275B3D">
              <w:rPr>
                <w:i/>
                <w:iCs/>
                <w:color w:val="7030A0"/>
              </w:rPr>
              <w:t>SUPPORT 1</w:t>
            </w:r>
          </w:p>
        </w:tc>
        <w:tc>
          <w:tcPr>
            <w:tcW w:w="1251" w:type="dxa"/>
          </w:tcPr>
          <w:p w:rsidR="00184C2B" w:rsidRPr="00275B3D" w:rsidRDefault="00184C2B" w:rsidP="003623AC">
            <w:pPr>
              <w:pStyle w:val="ListParagraph"/>
              <w:ind w:left="0"/>
              <w:rPr>
                <w:i/>
                <w:iCs/>
                <w:color w:val="00B050"/>
              </w:rPr>
            </w:pPr>
            <w:r w:rsidRPr="00275B3D">
              <w:rPr>
                <w:i/>
                <w:iCs/>
                <w:color w:val="00B050"/>
              </w:rPr>
              <w:t>SPORT/EXERCISE</w:t>
            </w:r>
          </w:p>
          <w:p w:rsidR="00184C2B" w:rsidRPr="00541065" w:rsidRDefault="00184C2B" w:rsidP="003623AC">
            <w:pPr>
              <w:pStyle w:val="ListParagraph"/>
              <w:ind w:left="0"/>
              <w:rPr>
                <w:i/>
                <w:iCs/>
              </w:rPr>
            </w:pPr>
          </w:p>
        </w:tc>
        <w:tc>
          <w:tcPr>
            <w:tcW w:w="1620" w:type="dxa"/>
          </w:tcPr>
          <w:p w:rsidR="00184C2B" w:rsidRPr="00541065" w:rsidRDefault="00184C2B" w:rsidP="003623AC">
            <w:pPr>
              <w:pStyle w:val="ListParagraph"/>
              <w:ind w:left="0"/>
              <w:rPr>
                <w:i/>
                <w:iCs/>
              </w:rPr>
            </w:pPr>
            <w:r w:rsidRPr="00275B3D">
              <w:rPr>
                <w:i/>
                <w:iCs/>
                <w:color w:val="C45911" w:themeColor="accent2" w:themeShade="BF"/>
              </w:rPr>
              <w:t>WELL-BEING 2</w:t>
            </w:r>
          </w:p>
        </w:tc>
        <w:tc>
          <w:tcPr>
            <w:tcW w:w="1499" w:type="dxa"/>
          </w:tcPr>
          <w:p w:rsidR="00184C2B" w:rsidRPr="00541065" w:rsidRDefault="00184C2B" w:rsidP="003623AC">
            <w:pPr>
              <w:pStyle w:val="ListParagraph"/>
              <w:ind w:left="0"/>
              <w:rPr>
                <w:i/>
                <w:iCs/>
              </w:rPr>
            </w:pPr>
            <w:r w:rsidRPr="00541065">
              <w:rPr>
                <w:i/>
                <w:iCs/>
              </w:rPr>
              <w:t>TEAM BUILDING</w:t>
            </w:r>
          </w:p>
        </w:tc>
        <w:tc>
          <w:tcPr>
            <w:tcW w:w="1282" w:type="dxa"/>
          </w:tcPr>
          <w:p w:rsidR="00184C2B" w:rsidRPr="00541065" w:rsidRDefault="00184C2B" w:rsidP="003623AC">
            <w:pPr>
              <w:pStyle w:val="ListParagraph"/>
              <w:ind w:left="0"/>
              <w:rPr>
                <w:i/>
                <w:iCs/>
              </w:rPr>
            </w:pPr>
            <w:r w:rsidRPr="00275B3D">
              <w:rPr>
                <w:i/>
                <w:iCs/>
                <w:color w:val="7B7B7B" w:themeColor="accent3" w:themeShade="BF"/>
              </w:rPr>
              <w:t>LOOKING FORWARD</w:t>
            </w:r>
          </w:p>
        </w:tc>
        <w:tc>
          <w:tcPr>
            <w:tcW w:w="1614" w:type="dxa"/>
          </w:tcPr>
          <w:p w:rsidR="00184C2B" w:rsidRPr="00541065" w:rsidRDefault="00184C2B" w:rsidP="003623AC">
            <w:pPr>
              <w:pStyle w:val="ListParagraph"/>
              <w:ind w:left="0"/>
              <w:rPr>
                <w:i/>
                <w:iCs/>
              </w:rPr>
            </w:pPr>
            <w:r w:rsidRPr="00275B3D">
              <w:rPr>
                <w:i/>
                <w:iCs/>
                <w:color w:val="FFC000" w:themeColor="accent4"/>
              </w:rPr>
              <w:t>STUDY SUPPORT 2</w:t>
            </w:r>
          </w:p>
        </w:tc>
      </w:tr>
      <w:tr w:rsidR="00184C2B" w:rsidRPr="00EA6740" w:rsidTr="003623AC">
        <w:tc>
          <w:tcPr>
            <w:tcW w:w="984" w:type="dxa"/>
          </w:tcPr>
          <w:p w:rsidR="00184C2B" w:rsidRPr="00541065" w:rsidRDefault="00184C2B" w:rsidP="003623AC">
            <w:pPr>
              <w:pStyle w:val="ListParagraph"/>
              <w:ind w:left="0"/>
              <w:rPr>
                <w:sz w:val="40"/>
                <w:szCs w:val="40"/>
              </w:rPr>
            </w:pPr>
            <w:r w:rsidRPr="00541065">
              <w:rPr>
                <w:sz w:val="40"/>
                <w:szCs w:val="40"/>
              </w:rPr>
              <w:t>Y9</w:t>
            </w:r>
          </w:p>
        </w:tc>
        <w:tc>
          <w:tcPr>
            <w:tcW w:w="1712" w:type="dxa"/>
          </w:tcPr>
          <w:p w:rsidR="00184C2B" w:rsidRPr="00275B3D" w:rsidRDefault="00184C2B" w:rsidP="003623AC">
            <w:pPr>
              <w:pStyle w:val="ListParagraph"/>
              <w:ind w:left="0"/>
              <w:rPr>
                <w:i/>
                <w:iCs/>
                <w:color w:val="00B050"/>
              </w:rPr>
            </w:pPr>
            <w:r w:rsidRPr="00275B3D">
              <w:rPr>
                <w:i/>
                <w:iCs/>
                <w:color w:val="00B050"/>
              </w:rPr>
              <w:t>SPORT/EXERCISE</w:t>
            </w:r>
          </w:p>
          <w:p w:rsidR="00184C2B" w:rsidRPr="00541065" w:rsidRDefault="00184C2B" w:rsidP="003623AC">
            <w:pPr>
              <w:pStyle w:val="ListParagraph"/>
              <w:ind w:left="0"/>
              <w:rPr>
                <w:i/>
                <w:iCs/>
              </w:rPr>
            </w:pPr>
          </w:p>
        </w:tc>
        <w:tc>
          <w:tcPr>
            <w:tcW w:w="1712" w:type="dxa"/>
          </w:tcPr>
          <w:p w:rsidR="00184C2B" w:rsidRPr="00275B3D" w:rsidRDefault="00184C2B" w:rsidP="003623AC">
            <w:pPr>
              <w:pStyle w:val="ListParagraph"/>
              <w:ind w:left="0"/>
              <w:rPr>
                <w:i/>
                <w:iCs/>
                <w:color w:val="7030A0"/>
              </w:rPr>
            </w:pPr>
            <w:r w:rsidRPr="00275B3D">
              <w:rPr>
                <w:i/>
                <w:iCs/>
                <w:color w:val="7030A0"/>
              </w:rPr>
              <w:t xml:space="preserve">STUDY </w:t>
            </w:r>
          </w:p>
          <w:p w:rsidR="00184C2B" w:rsidRPr="00541065" w:rsidRDefault="00184C2B" w:rsidP="003623AC">
            <w:pPr>
              <w:pStyle w:val="ListParagraph"/>
              <w:ind w:left="0"/>
              <w:rPr>
                <w:i/>
                <w:iCs/>
              </w:rPr>
            </w:pPr>
            <w:r w:rsidRPr="00275B3D">
              <w:rPr>
                <w:i/>
                <w:iCs/>
                <w:color w:val="7030A0"/>
              </w:rPr>
              <w:t>SUPPORT 1</w:t>
            </w:r>
          </w:p>
        </w:tc>
        <w:tc>
          <w:tcPr>
            <w:tcW w:w="1712" w:type="dxa"/>
          </w:tcPr>
          <w:p w:rsidR="00184C2B" w:rsidRPr="00275B3D" w:rsidRDefault="00184C2B" w:rsidP="003623AC">
            <w:pPr>
              <w:pStyle w:val="ListParagraph"/>
              <w:ind w:left="0"/>
              <w:rPr>
                <w:i/>
                <w:iCs/>
                <w:color w:val="FF0000"/>
              </w:rPr>
            </w:pPr>
            <w:r w:rsidRPr="00275B3D">
              <w:rPr>
                <w:i/>
                <w:iCs/>
                <w:color w:val="FF0000"/>
              </w:rPr>
              <w:t>GROWTH MINDSET/</w:t>
            </w:r>
          </w:p>
          <w:p w:rsidR="00184C2B" w:rsidRPr="00541065" w:rsidRDefault="00184C2B" w:rsidP="003623AC">
            <w:pPr>
              <w:pStyle w:val="ListParagraph"/>
              <w:ind w:left="0"/>
              <w:rPr>
                <w:i/>
                <w:iCs/>
              </w:rPr>
            </w:pPr>
            <w:r w:rsidRPr="00275B3D">
              <w:rPr>
                <w:i/>
                <w:iCs/>
                <w:color w:val="FF0000"/>
              </w:rPr>
              <w:t>MOTIVATION</w:t>
            </w:r>
          </w:p>
        </w:tc>
        <w:tc>
          <w:tcPr>
            <w:tcW w:w="1251" w:type="dxa"/>
          </w:tcPr>
          <w:p w:rsidR="00184C2B" w:rsidRPr="00541065" w:rsidRDefault="00184C2B" w:rsidP="003623AC">
            <w:pPr>
              <w:pStyle w:val="ListParagraph"/>
              <w:ind w:left="0"/>
              <w:rPr>
                <w:i/>
                <w:iCs/>
              </w:rPr>
            </w:pPr>
            <w:r w:rsidRPr="00275B3D">
              <w:rPr>
                <w:i/>
                <w:iCs/>
                <w:color w:val="0070C0"/>
              </w:rPr>
              <w:t>WELL-BEING 1</w:t>
            </w:r>
          </w:p>
        </w:tc>
        <w:tc>
          <w:tcPr>
            <w:tcW w:w="1620" w:type="dxa"/>
          </w:tcPr>
          <w:p w:rsidR="00184C2B" w:rsidRPr="00541065" w:rsidRDefault="00184C2B" w:rsidP="003623AC">
            <w:pPr>
              <w:pStyle w:val="ListParagraph"/>
              <w:ind w:left="0"/>
              <w:rPr>
                <w:i/>
                <w:iCs/>
              </w:rPr>
            </w:pPr>
            <w:r>
              <w:rPr>
                <w:i/>
                <w:iCs/>
              </w:rPr>
              <w:t>TEAM BUILDING</w:t>
            </w:r>
          </w:p>
        </w:tc>
        <w:tc>
          <w:tcPr>
            <w:tcW w:w="1499" w:type="dxa"/>
          </w:tcPr>
          <w:p w:rsidR="00184C2B" w:rsidRPr="00541065" w:rsidRDefault="00184C2B" w:rsidP="003623AC">
            <w:pPr>
              <w:pStyle w:val="ListParagraph"/>
              <w:ind w:left="0"/>
              <w:rPr>
                <w:i/>
                <w:iCs/>
              </w:rPr>
            </w:pPr>
            <w:r w:rsidRPr="00275B3D">
              <w:rPr>
                <w:i/>
                <w:iCs/>
                <w:color w:val="7B7B7B" w:themeColor="accent3" w:themeShade="BF"/>
              </w:rPr>
              <w:t>LOOKING FORWARD</w:t>
            </w:r>
          </w:p>
        </w:tc>
        <w:tc>
          <w:tcPr>
            <w:tcW w:w="1282" w:type="dxa"/>
          </w:tcPr>
          <w:p w:rsidR="00184C2B" w:rsidRPr="00541065" w:rsidRDefault="00184C2B" w:rsidP="003623AC">
            <w:pPr>
              <w:pStyle w:val="ListParagraph"/>
              <w:ind w:left="0"/>
              <w:rPr>
                <w:i/>
                <w:iCs/>
              </w:rPr>
            </w:pPr>
            <w:r w:rsidRPr="00275B3D">
              <w:rPr>
                <w:i/>
                <w:iCs/>
                <w:color w:val="FFC000" w:themeColor="accent4"/>
              </w:rPr>
              <w:t>STUDY SUPPORT 2</w:t>
            </w:r>
          </w:p>
        </w:tc>
        <w:tc>
          <w:tcPr>
            <w:tcW w:w="1614" w:type="dxa"/>
          </w:tcPr>
          <w:p w:rsidR="00184C2B" w:rsidRPr="00541065" w:rsidRDefault="00184C2B" w:rsidP="003623AC">
            <w:pPr>
              <w:pStyle w:val="ListParagraph"/>
              <w:ind w:left="0"/>
              <w:rPr>
                <w:i/>
                <w:iCs/>
              </w:rPr>
            </w:pPr>
            <w:r w:rsidRPr="00275B3D">
              <w:rPr>
                <w:i/>
                <w:iCs/>
                <w:color w:val="C45911" w:themeColor="accent2" w:themeShade="BF"/>
              </w:rPr>
              <w:t>WELL-BEING 2</w:t>
            </w:r>
          </w:p>
        </w:tc>
      </w:tr>
      <w:tr w:rsidR="00184C2B" w:rsidRPr="00275B3D" w:rsidTr="003623AC">
        <w:tc>
          <w:tcPr>
            <w:tcW w:w="984" w:type="dxa"/>
          </w:tcPr>
          <w:p w:rsidR="00184C2B" w:rsidRPr="00541065" w:rsidRDefault="00184C2B" w:rsidP="003623AC">
            <w:pPr>
              <w:pStyle w:val="ListParagraph"/>
              <w:ind w:left="0"/>
              <w:rPr>
                <w:sz w:val="40"/>
                <w:szCs w:val="40"/>
              </w:rPr>
            </w:pPr>
            <w:r w:rsidRPr="00541065">
              <w:rPr>
                <w:sz w:val="40"/>
                <w:szCs w:val="40"/>
              </w:rPr>
              <w:t>Y10</w:t>
            </w:r>
          </w:p>
        </w:tc>
        <w:tc>
          <w:tcPr>
            <w:tcW w:w="1712" w:type="dxa"/>
          </w:tcPr>
          <w:p w:rsidR="00184C2B" w:rsidRPr="00275B3D" w:rsidRDefault="00184C2B" w:rsidP="003623AC">
            <w:pPr>
              <w:pStyle w:val="ListParagraph"/>
              <w:ind w:left="0"/>
              <w:rPr>
                <w:i/>
                <w:iCs/>
                <w:color w:val="7030A0"/>
              </w:rPr>
            </w:pPr>
            <w:r w:rsidRPr="00275B3D">
              <w:rPr>
                <w:i/>
                <w:iCs/>
                <w:color w:val="7030A0"/>
              </w:rPr>
              <w:t xml:space="preserve">STUDY </w:t>
            </w:r>
          </w:p>
          <w:p w:rsidR="00184C2B" w:rsidRPr="00541065" w:rsidRDefault="00184C2B" w:rsidP="003623AC">
            <w:pPr>
              <w:pStyle w:val="ListParagraph"/>
              <w:ind w:left="0"/>
              <w:rPr>
                <w:i/>
                <w:iCs/>
              </w:rPr>
            </w:pPr>
            <w:r w:rsidRPr="00275B3D">
              <w:rPr>
                <w:i/>
                <w:iCs/>
                <w:color w:val="7030A0"/>
              </w:rPr>
              <w:t>SUPPORT 1</w:t>
            </w:r>
          </w:p>
        </w:tc>
        <w:tc>
          <w:tcPr>
            <w:tcW w:w="1712" w:type="dxa"/>
          </w:tcPr>
          <w:p w:rsidR="00184C2B" w:rsidRPr="00275B3D" w:rsidRDefault="00184C2B" w:rsidP="003623AC">
            <w:pPr>
              <w:pStyle w:val="ListParagraph"/>
              <w:ind w:left="0"/>
              <w:rPr>
                <w:i/>
                <w:iCs/>
                <w:color w:val="00B050"/>
              </w:rPr>
            </w:pPr>
            <w:r w:rsidRPr="00275B3D">
              <w:rPr>
                <w:i/>
                <w:iCs/>
                <w:color w:val="00B050"/>
              </w:rPr>
              <w:t>SPORT/EXERCISE</w:t>
            </w:r>
          </w:p>
          <w:p w:rsidR="00184C2B" w:rsidRPr="00541065" w:rsidRDefault="00184C2B" w:rsidP="003623AC">
            <w:pPr>
              <w:pStyle w:val="ListParagraph"/>
              <w:ind w:left="0"/>
              <w:rPr>
                <w:i/>
                <w:iCs/>
              </w:rPr>
            </w:pPr>
          </w:p>
        </w:tc>
        <w:tc>
          <w:tcPr>
            <w:tcW w:w="1712" w:type="dxa"/>
          </w:tcPr>
          <w:p w:rsidR="00184C2B" w:rsidRPr="00541065" w:rsidRDefault="00184C2B" w:rsidP="003623AC">
            <w:pPr>
              <w:pStyle w:val="ListParagraph"/>
              <w:ind w:left="0"/>
              <w:rPr>
                <w:i/>
                <w:iCs/>
              </w:rPr>
            </w:pPr>
            <w:r w:rsidRPr="00275B3D">
              <w:rPr>
                <w:i/>
                <w:iCs/>
                <w:color w:val="0070C0"/>
              </w:rPr>
              <w:t>WELL-BEING 1</w:t>
            </w:r>
          </w:p>
        </w:tc>
        <w:tc>
          <w:tcPr>
            <w:tcW w:w="1251" w:type="dxa"/>
          </w:tcPr>
          <w:p w:rsidR="00184C2B" w:rsidRPr="00275B3D" w:rsidRDefault="00184C2B" w:rsidP="003623AC">
            <w:pPr>
              <w:pStyle w:val="ListParagraph"/>
              <w:ind w:left="0"/>
              <w:rPr>
                <w:i/>
                <w:iCs/>
                <w:color w:val="FF0000"/>
              </w:rPr>
            </w:pPr>
            <w:r w:rsidRPr="00275B3D">
              <w:rPr>
                <w:i/>
                <w:iCs/>
                <w:color w:val="FF0000"/>
              </w:rPr>
              <w:t>GROWTH MINDSET/</w:t>
            </w:r>
          </w:p>
          <w:p w:rsidR="00184C2B" w:rsidRPr="00541065" w:rsidRDefault="00184C2B" w:rsidP="003623AC">
            <w:pPr>
              <w:pStyle w:val="ListParagraph"/>
              <w:ind w:left="0"/>
              <w:rPr>
                <w:i/>
                <w:iCs/>
              </w:rPr>
            </w:pPr>
            <w:r w:rsidRPr="00275B3D">
              <w:rPr>
                <w:i/>
                <w:iCs/>
                <w:color w:val="FF0000"/>
              </w:rPr>
              <w:t>MOTIVATION</w:t>
            </w:r>
          </w:p>
        </w:tc>
        <w:tc>
          <w:tcPr>
            <w:tcW w:w="1620" w:type="dxa"/>
          </w:tcPr>
          <w:p w:rsidR="00184C2B" w:rsidRPr="00541065" w:rsidRDefault="00184C2B" w:rsidP="003623AC">
            <w:pPr>
              <w:pStyle w:val="ListParagraph"/>
              <w:ind w:left="0"/>
              <w:rPr>
                <w:i/>
                <w:iCs/>
              </w:rPr>
            </w:pPr>
            <w:r w:rsidRPr="00275B3D">
              <w:rPr>
                <w:i/>
                <w:iCs/>
                <w:color w:val="7B7B7B" w:themeColor="accent3" w:themeShade="BF"/>
              </w:rPr>
              <w:t>LOOKING FORWARD</w:t>
            </w:r>
          </w:p>
        </w:tc>
        <w:tc>
          <w:tcPr>
            <w:tcW w:w="1499" w:type="dxa"/>
          </w:tcPr>
          <w:p w:rsidR="00184C2B" w:rsidRPr="00541065" w:rsidRDefault="00184C2B" w:rsidP="003623AC">
            <w:pPr>
              <w:pStyle w:val="ListParagraph"/>
              <w:ind w:left="0"/>
              <w:rPr>
                <w:i/>
                <w:iCs/>
              </w:rPr>
            </w:pPr>
            <w:r w:rsidRPr="00275B3D">
              <w:rPr>
                <w:i/>
                <w:iCs/>
                <w:color w:val="FFC000" w:themeColor="accent4"/>
              </w:rPr>
              <w:t>STUDY SUPPORT</w:t>
            </w:r>
            <w:r>
              <w:rPr>
                <w:i/>
                <w:iCs/>
                <w:color w:val="FFC000" w:themeColor="accent4"/>
              </w:rPr>
              <w:t xml:space="preserve"> </w:t>
            </w:r>
            <w:r w:rsidRPr="00275B3D">
              <w:rPr>
                <w:i/>
                <w:iCs/>
                <w:color w:val="FFC000" w:themeColor="accent4"/>
              </w:rPr>
              <w:t>2</w:t>
            </w:r>
          </w:p>
        </w:tc>
        <w:tc>
          <w:tcPr>
            <w:tcW w:w="1282" w:type="dxa"/>
          </w:tcPr>
          <w:p w:rsidR="00184C2B" w:rsidRPr="00541065" w:rsidRDefault="00184C2B" w:rsidP="003623AC">
            <w:pPr>
              <w:pStyle w:val="ListParagraph"/>
              <w:ind w:left="0"/>
              <w:rPr>
                <w:i/>
                <w:iCs/>
              </w:rPr>
            </w:pPr>
            <w:r w:rsidRPr="00275B3D">
              <w:rPr>
                <w:i/>
                <w:iCs/>
                <w:color w:val="C45911" w:themeColor="accent2" w:themeShade="BF"/>
              </w:rPr>
              <w:t>WELL-BEING 2</w:t>
            </w:r>
          </w:p>
        </w:tc>
        <w:tc>
          <w:tcPr>
            <w:tcW w:w="1614" w:type="dxa"/>
          </w:tcPr>
          <w:p w:rsidR="00184C2B" w:rsidRPr="00541065" w:rsidRDefault="00184C2B" w:rsidP="003623AC">
            <w:pPr>
              <w:pStyle w:val="ListParagraph"/>
              <w:ind w:left="0"/>
              <w:rPr>
                <w:i/>
                <w:iCs/>
              </w:rPr>
            </w:pPr>
            <w:r>
              <w:rPr>
                <w:i/>
                <w:iCs/>
              </w:rPr>
              <w:t>TEAM BUILDING</w:t>
            </w:r>
          </w:p>
        </w:tc>
      </w:tr>
    </w:tbl>
    <w:p w:rsidR="00184C2B" w:rsidRPr="00EA6740" w:rsidRDefault="00184C2B" w:rsidP="00184C2B">
      <w:pPr>
        <w:pStyle w:val="ListParagraph"/>
      </w:pPr>
    </w:p>
    <w:p w:rsidR="00184C2B" w:rsidRDefault="00184C2B" w:rsidP="00184C2B">
      <w:pPr>
        <w:pStyle w:val="ListParagraph"/>
      </w:pPr>
      <w:r>
        <w:t xml:space="preserve">Study support </w:t>
      </w:r>
    </w:p>
    <w:p w:rsidR="00184C2B" w:rsidRDefault="00184C2B" w:rsidP="00184C2B">
      <w:pPr>
        <w:pStyle w:val="ListParagraph"/>
        <w:numPr>
          <w:ilvl w:val="0"/>
          <w:numId w:val="4"/>
        </w:numPr>
      </w:pPr>
      <w:r>
        <w:t>Organisation</w:t>
      </w:r>
    </w:p>
    <w:p w:rsidR="00184C2B" w:rsidRDefault="00184C2B" w:rsidP="00184C2B">
      <w:pPr>
        <w:pStyle w:val="ListParagraph"/>
        <w:numPr>
          <w:ilvl w:val="0"/>
          <w:numId w:val="4"/>
        </w:numPr>
      </w:pPr>
      <w:r>
        <w:t>Revision skills</w:t>
      </w:r>
    </w:p>
    <w:p w:rsidR="00184C2B" w:rsidRDefault="00184C2B" w:rsidP="00184C2B">
      <w:pPr>
        <w:pStyle w:val="ListParagraph"/>
        <w:numPr>
          <w:ilvl w:val="0"/>
          <w:numId w:val="4"/>
        </w:numPr>
      </w:pPr>
      <w:r>
        <w:t xml:space="preserve">Memory skills </w:t>
      </w:r>
    </w:p>
    <w:p w:rsidR="00436D83" w:rsidRDefault="00436D83">
      <w:r>
        <w:br w:type="page"/>
      </w:r>
    </w:p>
    <w:p w:rsidR="00436D83" w:rsidRDefault="00436D83">
      <w:pPr>
        <w:sectPr w:rsidR="00436D83" w:rsidSect="00484ABC">
          <w:pgSz w:w="16838" w:h="11906" w:orient="landscape"/>
          <w:pgMar w:top="1276" w:right="1134" w:bottom="1134" w:left="1134" w:header="709" w:footer="709" w:gutter="0"/>
          <w:cols w:space="720"/>
          <w:titlePg/>
        </w:sectPr>
      </w:pPr>
    </w:p>
    <w:p w:rsidR="00436D83" w:rsidRDefault="00436D83" w:rsidP="00436D83">
      <w:pPr>
        <w:pStyle w:val="Heading2"/>
      </w:pPr>
      <w:r>
        <w:lastRenderedPageBreak/>
        <w:t>Appendix 2</w:t>
      </w:r>
    </w:p>
    <w:p w:rsidR="00436D83" w:rsidRPr="00FE73F0" w:rsidRDefault="00436D83" w:rsidP="00436D83">
      <w:pPr>
        <w:rPr>
          <w:rFonts w:ascii="Arial" w:hAnsi="Arial" w:cs="Arial"/>
          <w:b/>
          <w:sz w:val="24"/>
          <w:szCs w:val="24"/>
        </w:rPr>
      </w:pPr>
      <w:r w:rsidRPr="00FE73F0">
        <w:rPr>
          <w:rFonts w:ascii="Arial" w:hAnsi="Arial" w:cs="Arial"/>
          <w:b/>
          <w:sz w:val="24"/>
          <w:szCs w:val="24"/>
        </w:rPr>
        <w:t xml:space="preserve">English KS3 Intervention Timetable </w:t>
      </w:r>
    </w:p>
    <w:tbl>
      <w:tblPr>
        <w:tblStyle w:val="TableGrid"/>
        <w:tblW w:w="0" w:type="auto"/>
        <w:tblLook w:val="04A0" w:firstRow="1" w:lastRow="0" w:firstColumn="1" w:lastColumn="0" w:noHBand="0" w:noVBand="1"/>
      </w:tblPr>
      <w:tblGrid>
        <w:gridCol w:w="539"/>
        <w:gridCol w:w="1560"/>
        <w:gridCol w:w="1865"/>
        <w:gridCol w:w="1701"/>
        <w:gridCol w:w="1605"/>
        <w:gridCol w:w="1746"/>
      </w:tblGrid>
      <w:tr w:rsidR="00436D83" w:rsidTr="00D8132E">
        <w:tc>
          <w:tcPr>
            <w:tcW w:w="9016" w:type="dxa"/>
            <w:gridSpan w:val="6"/>
          </w:tcPr>
          <w:p w:rsidR="00436D83" w:rsidRPr="008954AA" w:rsidRDefault="00436D83" w:rsidP="00D8132E">
            <w:pPr>
              <w:rPr>
                <w:rFonts w:ascii="Arial" w:hAnsi="Arial" w:cs="Arial"/>
                <w:b/>
                <w:sz w:val="24"/>
                <w:szCs w:val="24"/>
              </w:rPr>
            </w:pPr>
            <w:r w:rsidRPr="008954AA">
              <w:rPr>
                <w:rFonts w:ascii="Arial" w:hAnsi="Arial" w:cs="Arial"/>
                <w:b/>
                <w:sz w:val="24"/>
                <w:szCs w:val="24"/>
              </w:rPr>
              <w:t>Week 1</w:t>
            </w:r>
          </w:p>
        </w:tc>
      </w:tr>
      <w:tr w:rsidR="00436D83" w:rsidTr="00D8132E">
        <w:tc>
          <w:tcPr>
            <w:tcW w:w="539" w:type="dxa"/>
          </w:tcPr>
          <w:p w:rsidR="00436D83" w:rsidRDefault="00436D83" w:rsidP="00D8132E">
            <w:pPr>
              <w:rPr>
                <w:rFonts w:ascii="Arial" w:hAnsi="Arial" w:cs="Arial"/>
                <w:sz w:val="24"/>
                <w:szCs w:val="24"/>
              </w:rPr>
            </w:pPr>
          </w:p>
        </w:tc>
        <w:tc>
          <w:tcPr>
            <w:tcW w:w="1560" w:type="dxa"/>
          </w:tcPr>
          <w:p w:rsidR="00436D83" w:rsidRPr="008954AA" w:rsidRDefault="00436D83" w:rsidP="00D8132E">
            <w:pPr>
              <w:rPr>
                <w:rFonts w:ascii="Arial" w:hAnsi="Arial" w:cs="Arial"/>
                <w:b/>
                <w:sz w:val="24"/>
                <w:szCs w:val="24"/>
              </w:rPr>
            </w:pPr>
            <w:r w:rsidRPr="008954AA">
              <w:rPr>
                <w:rFonts w:ascii="Arial" w:hAnsi="Arial" w:cs="Arial"/>
                <w:b/>
                <w:sz w:val="24"/>
                <w:szCs w:val="24"/>
              </w:rPr>
              <w:t xml:space="preserve">Monday </w:t>
            </w:r>
          </w:p>
        </w:tc>
        <w:tc>
          <w:tcPr>
            <w:tcW w:w="1865" w:type="dxa"/>
          </w:tcPr>
          <w:p w:rsidR="00436D83" w:rsidRPr="008954AA" w:rsidRDefault="00436D83" w:rsidP="00D8132E">
            <w:pPr>
              <w:rPr>
                <w:rFonts w:ascii="Arial" w:hAnsi="Arial" w:cs="Arial"/>
                <w:b/>
                <w:sz w:val="24"/>
                <w:szCs w:val="24"/>
              </w:rPr>
            </w:pPr>
            <w:r w:rsidRPr="008954AA">
              <w:rPr>
                <w:rFonts w:ascii="Arial" w:hAnsi="Arial" w:cs="Arial"/>
                <w:b/>
                <w:sz w:val="24"/>
                <w:szCs w:val="24"/>
              </w:rPr>
              <w:t xml:space="preserve">Tuesday </w:t>
            </w:r>
          </w:p>
        </w:tc>
        <w:tc>
          <w:tcPr>
            <w:tcW w:w="1701" w:type="dxa"/>
          </w:tcPr>
          <w:p w:rsidR="00436D83" w:rsidRPr="008954AA" w:rsidRDefault="00436D83" w:rsidP="00D8132E">
            <w:pPr>
              <w:rPr>
                <w:rFonts w:ascii="Arial" w:hAnsi="Arial" w:cs="Arial"/>
                <w:b/>
                <w:sz w:val="24"/>
                <w:szCs w:val="24"/>
              </w:rPr>
            </w:pPr>
            <w:r w:rsidRPr="008954AA">
              <w:rPr>
                <w:rFonts w:ascii="Arial" w:hAnsi="Arial" w:cs="Arial"/>
                <w:b/>
                <w:sz w:val="24"/>
                <w:szCs w:val="24"/>
              </w:rPr>
              <w:t xml:space="preserve">Wednesday </w:t>
            </w:r>
          </w:p>
        </w:tc>
        <w:tc>
          <w:tcPr>
            <w:tcW w:w="1605" w:type="dxa"/>
          </w:tcPr>
          <w:p w:rsidR="00436D83" w:rsidRPr="008954AA" w:rsidRDefault="00436D83" w:rsidP="00D8132E">
            <w:pPr>
              <w:rPr>
                <w:rFonts w:ascii="Arial" w:hAnsi="Arial" w:cs="Arial"/>
                <w:b/>
                <w:sz w:val="24"/>
                <w:szCs w:val="24"/>
              </w:rPr>
            </w:pPr>
            <w:r w:rsidRPr="008954AA">
              <w:rPr>
                <w:rFonts w:ascii="Arial" w:hAnsi="Arial" w:cs="Arial"/>
                <w:b/>
                <w:sz w:val="24"/>
                <w:szCs w:val="24"/>
              </w:rPr>
              <w:t xml:space="preserve">Thursday </w:t>
            </w:r>
          </w:p>
        </w:tc>
        <w:tc>
          <w:tcPr>
            <w:tcW w:w="1746" w:type="dxa"/>
          </w:tcPr>
          <w:p w:rsidR="00436D83" w:rsidRPr="008954AA" w:rsidRDefault="00436D83" w:rsidP="00D8132E">
            <w:pPr>
              <w:rPr>
                <w:rFonts w:ascii="Arial" w:hAnsi="Arial" w:cs="Arial"/>
                <w:b/>
                <w:sz w:val="24"/>
                <w:szCs w:val="24"/>
              </w:rPr>
            </w:pPr>
            <w:r w:rsidRPr="008954AA">
              <w:rPr>
                <w:rFonts w:ascii="Arial" w:hAnsi="Arial" w:cs="Arial"/>
                <w:b/>
                <w:sz w:val="24"/>
                <w:szCs w:val="24"/>
              </w:rPr>
              <w:t xml:space="preserve">Friday </w:t>
            </w:r>
          </w:p>
        </w:tc>
      </w:tr>
      <w:tr w:rsidR="00436D83" w:rsidTr="00D8132E">
        <w:tc>
          <w:tcPr>
            <w:tcW w:w="539" w:type="dxa"/>
          </w:tcPr>
          <w:p w:rsidR="00436D83" w:rsidRDefault="00436D83" w:rsidP="00D8132E">
            <w:pPr>
              <w:rPr>
                <w:rFonts w:ascii="Arial" w:hAnsi="Arial" w:cs="Arial"/>
                <w:sz w:val="24"/>
                <w:szCs w:val="24"/>
              </w:rPr>
            </w:pPr>
            <w:r>
              <w:rPr>
                <w:rFonts w:ascii="Arial" w:hAnsi="Arial" w:cs="Arial"/>
                <w:sz w:val="24"/>
                <w:szCs w:val="24"/>
              </w:rPr>
              <w:t>1</w:t>
            </w:r>
          </w:p>
        </w:tc>
        <w:tc>
          <w:tcPr>
            <w:tcW w:w="1560" w:type="dxa"/>
          </w:tcPr>
          <w:p w:rsidR="00436D83" w:rsidRDefault="00436D83" w:rsidP="00D8132E">
            <w:pPr>
              <w:rPr>
                <w:rFonts w:ascii="Arial" w:hAnsi="Arial" w:cs="Arial"/>
                <w:sz w:val="24"/>
                <w:szCs w:val="24"/>
              </w:rPr>
            </w:pPr>
          </w:p>
          <w:p w:rsidR="00436D83" w:rsidRDefault="00436D83" w:rsidP="00D8132E">
            <w:pPr>
              <w:rPr>
                <w:rFonts w:ascii="Arial" w:hAnsi="Arial" w:cs="Arial"/>
                <w:sz w:val="24"/>
                <w:szCs w:val="24"/>
              </w:rPr>
            </w:pPr>
          </w:p>
          <w:p w:rsidR="00436D83" w:rsidRDefault="00436D83" w:rsidP="00D8132E">
            <w:pPr>
              <w:rPr>
                <w:rFonts w:ascii="Arial" w:hAnsi="Arial" w:cs="Arial"/>
                <w:sz w:val="24"/>
                <w:szCs w:val="24"/>
              </w:rPr>
            </w:pPr>
          </w:p>
        </w:tc>
        <w:tc>
          <w:tcPr>
            <w:tcW w:w="1865" w:type="dxa"/>
            <w:shd w:val="clear" w:color="auto" w:fill="FFFF00"/>
          </w:tcPr>
          <w:p w:rsidR="00436D83" w:rsidRPr="00FE73F0" w:rsidRDefault="00436D83" w:rsidP="00D8132E">
            <w:pPr>
              <w:jc w:val="center"/>
              <w:rPr>
                <w:rFonts w:ascii="Arial" w:hAnsi="Arial" w:cs="Arial"/>
                <w:b/>
                <w:sz w:val="24"/>
                <w:szCs w:val="24"/>
              </w:rPr>
            </w:pPr>
            <w:r w:rsidRPr="00FE73F0">
              <w:rPr>
                <w:rFonts w:ascii="Arial" w:hAnsi="Arial" w:cs="Arial"/>
                <w:b/>
                <w:sz w:val="24"/>
                <w:szCs w:val="24"/>
              </w:rPr>
              <w:t>8X</w:t>
            </w:r>
          </w:p>
          <w:p w:rsidR="00436D83" w:rsidRPr="00FE73F0" w:rsidRDefault="00436D83" w:rsidP="00D8132E">
            <w:pPr>
              <w:jc w:val="center"/>
              <w:rPr>
                <w:rFonts w:ascii="Arial" w:hAnsi="Arial" w:cs="Arial"/>
                <w:b/>
                <w:sz w:val="24"/>
                <w:szCs w:val="24"/>
              </w:rPr>
            </w:pPr>
            <w:r w:rsidRPr="00FE73F0">
              <w:rPr>
                <w:rFonts w:ascii="Arial" w:hAnsi="Arial" w:cs="Arial"/>
                <w:b/>
                <w:sz w:val="24"/>
                <w:szCs w:val="24"/>
              </w:rPr>
              <w:t>Writing</w:t>
            </w:r>
          </w:p>
          <w:p w:rsidR="00436D83" w:rsidRPr="00FE73F0" w:rsidRDefault="00436D83" w:rsidP="00D8132E">
            <w:pPr>
              <w:jc w:val="center"/>
              <w:rPr>
                <w:rFonts w:ascii="Arial" w:hAnsi="Arial" w:cs="Arial"/>
                <w:b/>
                <w:sz w:val="24"/>
                <w:szCs w:val="24"/>
              </w:rPr>
            </w:pPr>
            <w:r w:rsidRPr="00FE73F0">
              <w:rPr>
                <w:rFonts w:ascii="Arial" w:hAnsi="Arial" w:cs="Arial"/>
                <w:b/>
                <w:sz w:val="24"/>
                <w:szCs w:val="24"/>
              </w:rPr>
              <w:t>(History)</w:t>
            </w:r>
          </w:p>
        </w:tc>
        <w:tc>
          <w:tcPr>
            <w:tcW w:w="1701" w:type="dxa"/>
            <w:shd w:val="clear" w:color="auto" w:fill="FFFF00"/>
          </w:tcPr>
          <w:p w:rsidR="00436D83" w:rsidRPr="00FE73F0" w:rsidRDefault="00436D83" w:rsidP="00D8132E">
            <w:pPr>
              <w:jc w:val="center"/>
              <w:rPr>
                <w:rFonts w:ascii="Arial" w:hAnsi="Arial" w:cs="Arial"/>
                <w:b/>
                <w:sz w:val="24"/>
                <w:szCs w:val="24"/>
              </w:rPr>
            </w:pPr>
            <w:r w:rsidRPr="00FE73F0">
              <w:rPr>
                <w:rFonts w:ascii="Arial" w:hAnsi="Arial" w:cs="Arial"/>
                <w:b/>
                <w:sz w:val="24"/>
                <w:szCs w:val="24"/>
              </w:rPr>
              <w:t>8X</w:t>
            </w:r>
          </w:p>
          <w:p w:rsidR="00436D83" w:rsidRPr="00FE73F0" w:rsidRDefault="00436D83" w:rsidP="00D8132E">
            <w:pPr>
              <w:jc w:val="center"/>
              <w:rPr>
                <w:rFonts w:ascii="Arial" w:hAnsi="Arial" w:cs="Arial"/>
                <w:b/>
                <w:sz w:val="24"/>
                <w:szCs w:val="24"/>
              </w:rPr>
            </w:pPr>
            <w:r w:rsidRPr="00FE73F0">
              <w:rPr>
                <w:rFonts w:ascii="Arial" w:hAnsi="Arial" w:cs="Arial"/>
                <w:b/>
                <w:sz w:val="24"/>
                <w:szCs w:val="24"/>
              </w:rPr>
              <w:t>Reading</w:t>
            </w:r>
          </w:p>
          <w:p w:rsidR="00436D83" w:rsidRPr="00FE73F0" w:rsidRDefault="00436D83" w:rsidP="00D8132E">
            <w:pPr>
              <w:jc w:val="center"/>
              <w:rPr>
                <w:rFonts w:ascii="Arial" w:hAnsi="Arial" w:cs="Arial"/>
                <w:b/>
                <w:sz w:val="24"/>
                <w:szCs w:val="24"/>
              </w:rPr>
            </w:pPr>
            <w:r w:rsidRPr="00FE73F0">
              <w:rPr>
                <w:rFonts w:ascii="Arial" w:hAnsi="Arial" w:cs="Arial"/>
                <w:b/>
                <w:sz w:val="24"/>
                <w:szCs w:val="24"/>
              </w:rPr>
              <w:t>(Spanish)</w:t>
            </w:r>
          </w:p>
          <w:p w:rsidR="00436D83" w:rsidRPr="00FE73F0" w:rsidRDefault="00436D83" w:rsidP="00D8132E">
            <w:pPr>
              <w:jc w:val="center"/>
              <w:rPr>
                <w:rFonts w:ascii="Arial" w:hAnsi="Arial" w:cs="Arial"/>
                <w:b/>
                <w:sz w:val="24"/>
                <w:szCs w:val="24"/>
              </w:rPr>
            </w:pPr>
          </w:p>
        </w:tc>
        <w:tc>
          <w:tcPr>
            <w:tcW w:w="1605" w:type="dxa"/>
            <w:shd w:val="clear" w:color="auto" w:fill="A8D08D" w:themeFill="accent6" w:themeFillTint="99"/>
          </w:tcPr>
          <w:p w:rsidR="00436D83" w:rsidRPr="00FE73F0" w:rsidRDefault="00436D83" w:rsidP="00D8132E">
            <w:pPr>
              <w:jc w:val="center"/>
              <w:rPr>
                <w:rFonts w:ascii="Arial" w:hAnsi="Arial" w:cs="Arial"/>
                <w:b/>
                <w:sz w:val="24"/>
                <w:szCs w:val="24"/>
              </w:rPr>
            </w:pPr>
            <w:r w:rsidRPr="00FE73F0">
              <w:rPr>
                <w:rFonts w:ascii="Arial" w:hAnsi="Arial" w:cs="Arial"/>
                <w:b/>
                <w:sz w:val="24"/>
                <w:szCs w:val="24"/>
              </w:rPr>
              <w:t>7Y</w:t>
            </w:r>
          </w:p>
          <w:p w:rsidR="00436D83" w:rsidRPr="00FE73F0" w:rsidRDefault="00436D83" w:rsidP="00D8132E">
            <w:pPr>
              <w:jc w:val="center"/>
              <w:rPr>
                <w:rFonts w:ascii="Arial" w:hAnsi="Arial" w:cs="Arial"/>
                <w:b/>
                <w:sz w:val="24"/>
                <w:szCs w:val="24"/>
              </w:rPr>
            </w:pPr>
            <w:r w:rsidRPr="00FE73F0">
              <w:rPr>
                <w:rFonts w:ascii="Arial" w:hAnsi="Arial" w:cs="Arial"/>
                <w:b/>
                <w:sz w:val="24"/>
                <w:szCs w:val="24"/>
              </w:rPr>
              <w:t>Writing</w:t>
            </w:r>
          </w:p>
          <w:p w:rsidR="00436D83" w:rsidRPr="00FE73F0" w:rsidRDefault="00436D83" w:rsidP="00D8132E">
            <w:pPr>
              <w:jc w:val="center"/>
              <w:rPr>
                <w:rFonts w:ascii="Arial" w:hAnsi="Arial" w:cs="Arial"/>
                <w:b/>
                <w:sz w:val="24"/>
                <w:szCs w:val="24"/>
              </w:rPr>
            </w:pPr>
            <w:r w:rsidRPr="00FE73F0">
              <w:rPr>
                <w:rFonts w:ascii="Arial" w:hAnsi="Arial" w:cs="Arial"/>
                <w:b/>
                <w:sz w:val="24"/>
                <w:szCs w:val="24"/>
              </w:rPr>
              <w:t>(History)</w:t>
            </w:r>
          </w:p>
        </w:tc>
        <w:tc>
          <w:tcPr>
            <w:tcW w:w="1746" w:type="dxa"/>
          </w:tcPr>
          <w:p w:rsidR="00436D83" w:rsidRDefault="00436D83" w:rsidP="00D8132E">
            <w:pPr>
              <w:rPr>
                <w:rFonts w:ascii="Arial" w:hAnsi="Arial" w:cs="Arial"/>
                <w:sz w:val="24"/>
                <w:szCs w:val="24"/>
              </w:rPr>
            </w:pPr>
          </w:p>
        </w:tc>
      </w:tr>
      <w:tr w:rsidR="00436D83" w:rsidTr="00D8132E">
        <w:tc>
          <w:tcPr>
            <w:tcW w:w="539" w:type="dxa"/>
          </w:tcPr>
          <w:p w:rsidR="00436D83" w:rsidRDefault="00436D83" w:rsidP="00D8132E">
            <w:pPr>
              <w:rPr>
                <w:rFonts w:ascii="Arial" w:hAnsi="Arial" w:cs="Arial"/>
                <w:sz w:val="24"/>
                <w:szCs w:val="24"/>
              </w:rPr>
            </w:pPr>
            <w:r>
              <w:rPr>
                <w:rFonts w:ascii="Arial" w:hAnsi="Arial" w:cs="Arial"/>
                <w:sz w:val="24"/>
                <w:szCs w:val="24"/>
              </w:rPr>
              <w:t>2</w:t>
            </w:r>
          </w:p>
        </w:tc>
        <w:tc>
          <w:tcPr>
            <w:tcW w:w="1560" w:type="dxa"/>
          </w:tcPr>
          <w:p w:rsidR="00436D83" w:rsidRDefault="00436D83" w:rsidP="00D8132E">
            <w:pPr>
              <w:rPr>
                <w:rFonts w:ascii="Arial" w:hAnsi="Arial" w:cs="Arial"/>
                <w:sz w:val="24"/>
                <w:szCs w:val="24"/>
              </w:rPr>
            </w:pPr>
          </w:p>
          <w:p w:rsidR="00436D83" w:rsidRDefault="00436D83" w:rsidP="00D8132E">
            <w:pPr>
              <w:rPr>
                <w:rFonts w:ascii="Arial" w:hAnsi="Arial" w:cs="Arial"/>
                <w:sz w:val="24"/>
                <w:szCs w:val="24"/>
              </w:rPr>
            </w:pPr>
          </w:p>
          <w:p w:rsidR="00436D83" w:rsidRDefault="00436D83" w:rsidP="00D8132E">
            <w:pPr>
              <w:rPr>
                <w:rFonts w:ascii="Arial" w:hAnsi="Arial" w:cs="Arial"/>
                <w:sz w:val="24"/>
                <w:szCs w:val="24"/>
              </w:rPr>
            </w:pPr>
          </w:p>
        </w:tc>
        <w:tc>
          <w:tcPr>
            <w:tcW w:w="1865" w:type="dxa"/>
            <w:shd w:val="clear" w:color="auto" w:fill="70AD47" w:themeFill="accent6"/>
          </w:tcPr>
          <w:p w:rsidR="00436D83" w:rsidRPr="00FE73F0" w:rsidRDefault="00436D83" w:rsidP="00D8132E">
            <w:pPr>
              <w:jc w:val="center"/>
              <w:rPr>
                <w:rFonts w:ascii="Arial" w:hAnsi="Arial" w:cs="Arial"/>
                <w:b/>
                <w:sz w:val="24"/>
                <w:szCs w:val="24"/>
              </w:rPr>
            </w:pPr>
            <w:r w:rsidRPr="00FE73F0">
              <w:rPr>
                <w:rFonts w:ascii="Arial" w:hAnsi="Arial" w:cs="Arial"/>
                <w:b/>
                <w:sz w:val="24"/>
                <w:szCs w:val="24"/>
              </w:rPr>
              <w:t>7X</w:t>
            </w:r>
          </w:p>
          <w:p w:rsidR="00436D83" w:rsidRPr="00FE73F0" w:rsidRDefault="00436D83" w:rsidP="00D8132E">
            <w:pPr>
              <w:jc w:val="center"/>
              <w:rPr>
                <w:rFonts w:ascii="Arial" w:hAnsi="Arial" w:cs="Arial"/>
                <w:b/>
                <w:sz w:val="24"/>
                <w:szCs w:val="24"/>
              </w:rPr>
            </w:pPr>
            <w:r w:rsidRPr="00FE73F0">
              <w:rPr>
                <w:rFonts w:ascii="Arial" w:hAnsi="Arial" w:cs="Arial"/>
                <w:b/>
                <w:sz w:val="24"/>
                <w:szCs w:val="24"/>
              </w:rPr>
              <w:t>Writing</w:t>
            </w:r>
          </w:p>
          <w:p w:rsidR="00436D83" w:rsidRPr="00FE73F0" w:rsidRDefault="00436D83" w:rsidP="00D8132E">
            <w:pPr>
              <w:jc w:val="center"/>
              <w:rPr>
                <w:rFonts w:ascii="Arial" w:hAnsi="Arial" w:cs="Arial"/>
                <w:b/>
                <w:sz w:val="24"/>
                <w:szCs w:val="24"/>
              </w:rPr>
            </w:pPr>
            <w:r w:rsidRPr="00FE73F0">
              <w:rPr>
                <w:rFonts w:ascii="Arial" w:hAnsi="Arial" w:cs="Arial"/>
                <w:b/>
                <w:sz w:val="24"/>
                <w:szCs w:val="24"/>
              </w:rPr>
              <w:t>(French)</w:t>
            </w:r>
          </w:p>
        </w:tc>
        <w:tc>
          <w:tcPr>
            <w:tcW w:w="1701" w:type="dxa"/>
          </w:tcPr>
          <w:p w:rsidR="00436D83" w:rsidRPr="00FE73F0" w:rsidRDefault="00436D83" w:rsidP="00D8132E">
            <w:pPr>
              <w:jc w:val="center"/>
              <w:rPr>
                <w:rFonts w:ascii="Arial" w:hAnsi="Arial" w:cs="Arial"/>
                <w:b/>
                <w:sz w:val="24"/>
                <w:szCs w:val="24"/>
              </w:rPr>
            </w:pPr>
          </w:p>
        </w:tc>
        <w:tc>
          <w:tcPr>
            <w:tcW w:w="1605" w:type="dxa"/>
            <w:shd w:val="clear" w:color="auto" w:fill="FA60E4"/>
          </w:tcPr>
          <w:p w:rsidR="00436D83" w:rsidRPr="00FE73F0" w:rsidRDefault="00436D83" w:rsidP="00D8132E">
            <w:pPr>
              <w:jc w:val="center"/>
              <w:rPr>
                <w:rFonts w:ascii="Arial" w:hAnsi="Arial" w:cs="Arial"/>
                <w:b/>
                <w:sz w:val="24"/>
                <w:szCs w:val="24"/>
              </w:rPr>
            </w:pPr>
            <w:r w:rsidRPr="00FE73F0">
              <w:rPr>
                <w:rFonts w:ascii="Arial" w:hAnsi="Arial" w:cs="Arial"/>
                <w:b/>
                <w:sz w:val="24"/>
                <w:szCs w:val="24"/>
              </w:rPr>
              <w:t>9Z</w:t>
            </w:r>
          </w:p>
          <w:p w:rsidR="00436D83" w:rsidRPr="00FE73F0" w:rsidRDefault="00436D83" w:rsidP="00D8132E">
            <w:pPr>
              <w:jc w:val="center"/>
              <w:rPr>
                <w:rFonts w:ascii="Arial" w:hAnsi="Arial" w:cs="Arial"/>
                <w:b/>
                <w:sz w:val="24"/>
                <w:szCs w:val="24"/>
              </w:rPr>
            </w:pPr>
            <w:r w:rsidRPr="00FE73F0">
              <w:rPr>
                <w:rFonts w:ascii="Arial" w:hAnsi="Arial" w:cs="Arial"/>
                <w:b/>
                <w:sz w:val="24"/>
                <w:szCs w:val="24"/>
              </w:rPr>
              <w:t>Writing</w:t>
            </w:r>
          </w:p>
          <w:p w:rsidR="00436D83" w:rsidRPr="00FE73F0" w:rsidRDefault="00436D83" w:rsidP="00D8132E">
            <w:pPr>
              <w:jc w:val="center"/>
              <w:rPr>
                <w:rFonts w:ascii="Arial" w:hAnsi="Arial" w:cs="Arial"/>
                <w:b/>
                <w:sz w:val="24"/>
                <w:szCs w:val="24"/>
              </w:rPr>
            </w:pPr>
            <w:r w:rsidRPr="00FE73F0">
              <w:rPr>
                <w:rFonts w:ascii="Arial" w:hAnsi="Arial" w:cs="Arial"/>
                <w:b/>
                <w:sz w:val="24"/>
                <w:szCs w:val="24"/>
              </w:rPr>
              <w:t>(German)</w:t>
            </w:r>
          </w:p>
          <w:p w:rsidR="00436D83" w:rsidRPr="00FE73F0" w:rsidRDefault="00436D83" w:rsidP="00D8132E">
            <w:pPr>
              <w:jc w:val="center"/>
              <w:rPr>
                <w:rFonts w:ascii="Arial" w:hAnsi="Arial" w:cs="Arial"/>
                <w:b/>
                <w:sz w:val="24"/>
                <w:szCs w:val="24"/>
              </w:rPr>
            </w:pPr>
          </w:p>
        </w:tc>
        <w:tc>
          <w:tcPr>
            <w:tcW w:w="1746" w:type="dxa"/>
          </w:tcPr>
          <w:p w:rsidR="00436D83" w:rsidRDefault="00436D83" w:rsidP="00D8132E">
            <w:pPr>
              <w:rPr>
                <w:rFonts w:ascii="Arial" w:hAnsi="Arial" w:cs="Arial"/>
                <w:sz w:val="24"/>
                <w:szCs w:val="24"/>
              </w:rPr>
            </w:pPr>
          </w:p>
        </w:tc>
      </w:tr>
      <w:tr w:rsidR="00436D83" w:rsidTr="00D8132E">
        <w:tc>
          <w:tcPr>
            <w:tcW w:w="539" w:type="dxa"/>
          </w:tcPr>
          <w:p w:rsidR="00436D83" w:rsidRDefault="00436D83" w:rsidP="00D8132E">
            <w:pPr>
              <w:rPr>
                <w:rFonts w:ascii="Arial" w:hAnsi="Arial" w:cs="Arial"/>
                <w:sz w:val="24"/>
                <w:szCs w:val="24"/>
              </w:rPr>
            </w:pPr>
            <w:r>
              <w:rPr>
                <w:rFonts w:ascii="Arial" w:hAnsi="Arial" w:cs="Arial"/>
                <w:sz w:val="24"/>
                <w:szCs w:val="24"/>
              </w:rPr>
              <w:t>3</w:t>
            </w:r>
          </w:p>
        </w:tc>
        <w:tc>
          <w:tcPr>
            <w:tcW w:w="1560" w:type="dxa"/>
          </w:tcPr>
          <w:p w:rsidR="00436D83" w:rsidRDefault="00436D83" w:rsidP="00D8132E">
            <w:pPr>
              <w:rPr>
                <w:rFonts w:ascii="Arial" w:hAnsi="Arial" w:cs="Arial"/>
                <w:sz w:val="24"/>
                <w:szCs w:val="24"/>
              </w:rPr>
            </w:pPr>
          </w:p>
          <w:p w:rsidR="00436D83" w:rsidRDefault="00436D83" w:rsidP="00D8132E">
            <w:pPr>
              <w:rPr>
                <w:rFonts w:ascii="Arial" w:hAnsi="Arial" w:cs="Arial"/>
                <w:sz w:val="24"/>
                <w:szCs w:val="24"/>
              </w:rPr>
            </w:pPr>
          </w:p>
          <w:p w:rsidR="00436D83" w:rsidRDefault="00436D83" w:rsidP="00D8132E">
            <w:pPr>
              <w:rPr>
                <w:rFonts w:ascii="Arial" w:hAnsi="Arial" w:cs="Arial"/>
                <w:sz w:val="24"/>
                <w:szCs w:val="24"/>
              </w:rPr>
            </w:pPr>
          </w:p>
        </w:tc>
        <w:tc>
          <w:tcPr>
            <w:tcW w:w="1865" w:type="dxa"/>
            <w:shd w:val="clear" w:color="auto" w:fill="FDB9FA"/>
          </w:tcPr>
          <w:p w:rsidR="00436D83" w:rsidRPr="00FE73F0" w:rsidRDefault="00436D83" w:rsidP="00D8132E">
            <w:pPr>
              <w:jc w:val="center"/>
              <w:rPr>
                <w:rFonts w:ascii="Arial" w:hAnsi="Arial" w:cs="Arial"/>
                <w:b/>
                <w:sz w:val="24"/>
                <w:szCs w:val="24"/>
              </w:rPr>
            </w:pPr>
            <w:r w:rsidRPr="00FE73F0">
              <w:rPr>
                <w:rFonts w:ascii="Arial" w:hAnsi="Arial" w:cs="Arial"/>
                <w:b/>
                <w:sz w:val="24"/>
                <w:szCs w:val="24"/>
              </w:rPr>
              <w:t>9X</w:t>
            </w:r>
          </w:p>
          <w:p w:rsidR="00436D83" w:rsidRPr="00FE73F0" w:rsidRDefault="00436D83" w:rsidP="00D8132E">
            <w:pPr>
              <w:jc w:val="center"/>
              <w:rPr>
                <w:rFonts w:ascii="Arial" w:hAnsi="Arial" w:cs="Arial"/>
                <w:b/>
                <w:sz w:val="24"/>
                <w:szCs w:val="24"/>
              </w:rPr>
            </w:pPr>
            <w:r w:rsidRPr="00FE73F0">
              <w:rPr>
                <w:rFonts w:ascii="Arial" w:hAnsi="Arial" w:cs="Arial"/>
                <w:b/>
                <w:sz w:val="24"/>
                <w:szCs w:val="24"/>
              </w:rPr>
              <w:t>Writing</w:t>
            </w:r>
          </w:p>
          <w:p w:rsidR="00436D83" w:rsidRPr="00FE73F0" w:rsidRDefault="00436D83" w:rsidP="00D8132E">
            <w:pPr>
              <w:jc w:val="center"/>
              <w:rPr>
                <w:rFonts w:ascii="Arial" w:hAnsi="Arial" w:cs="Arial"/>
                <w:b/>
                <w:sz w:val="24"/>
                <w:szCs w:val="24"/>
              </w:rPr>
            </w:pPr>
            <w:r w:rsidRPr="00FE73F0">
              <w:rPr>
                <w:rFonts w:ascii="Arial" w:hAnsi="Arial" w:cs="Arial"/>
                <w:b/>
                <w:sz w:val="24"/>
                <w:szCs w:val="24"/>
              </w:rPr>
              <w:t>(R.E)</w:t>
            </w:r>
          </w:p>
        </w:tc>
        <w:tc>
          <w:tcPr>
            <w:tcW w:w="1701" w:type="dxa"/>
            <w:shd w:val="clear" w:color="auto" w:fill="FFC000"/>
          </w:tcPr>
          <w:p w:rsidR="00436D83" w:rsidRPr="00FE73F0" w:rsidRDefault="00436D83" w:rsidP="00D8132E">
            <w:pPr>
              <w:jc w:val="center"/>
              <w:rPr>
                <w:rFonts w:ascii="Arial" w:hAnsi="Arial" w:cs="Arial"/>
                <w:b/>
                <w:sz w:val="24"/>
                <w:szCs w:val="24"/>
              </w:rPr>
            </w:pPr>
            <w:r w:rsidRPr="00FE73F0">
              <w:rPr>
                <w:rFonts w:ascii="Arial" w:hAnsi="Arial" w:cs="Arial"/>
                <w:b/>
                <w:sz w:val="24"/>
                <w:szCs w:val="24"/>
              </w:rPr>
              <w:t>8Z</w:t>
            </w:r>
          </w:p>
          <w:p w:rsidR="00436D83" w:rsidRPr="00FE73F0" w:rsidRDefault="00436D83" w:rsidP="00D8132E">
            <w:pPr>
              <w:jc w:val="center"/>
              <w:rPr>
                <w:rFonts w:ascii="Arial" w:hAnsi="Arial" w:cs="Arial"/>
                <w:b/>
                <w:sz w:val="24"/>
                <w:szCs w:val="24"/>
              </w:rPr>
            </w:pPr>
            <w:r w:rsidRPr="00FE73F0">
              <w:rPr>
                <w:rFonts w:ascii="Arial" w:hAnsi="Arial" w:cs="Arial"/>
                <w:b/>
                <w:sz w:val="24"/>
                <w:szCs w:val="24"/>
              </w:rPr>
              <w:t>Reading</w:t>
            </w:r>
          </w:p>
          <w:p w:rsidR="00436D83" w:rsidRPr="00FE73F0" w:rsidRDefault="00436D83" w:rsidP="00D8132E">
            <w:pPr>
              <w:jc w:val="center"/>
              <w:rPr>
                <w:rFonts w:ascii="Arial" w:hAnsi="Arial" w:cs="Arial"/>
                <w:b/>
                <w:sz w:val="24"/>
                <w:szCs w:val="24"/>
              </w:rPr>
            </w:pPr>
            <w:r w:rsidRPr="00FE73F0">
              <w:rPr>
                <w:rFonts w:ascii="Arial" w:hAnsi="Arial" w:cs="Arial"/>
                <w:b/>
                <w:sz w:val="24"/>
                <w:szCs w:val="24"/>
              </w:rPr>
              <w:t>(Spanish)</w:t>
            </w:r>
          </w:p>
          <w:p w:rsidR="00436D83" w:rsidRPr="00FE73F0" w:rsidRDefault="00436D83" w:rsidP="00D8132E">
            <w:pPr>
              <w:jc w:val="center"/>
              <w:rPr>
                <w:rFonts w:ascii="Arial" w:hAnsi="Arial" w:cs="Arial"/>
                <w:b/>
                <w:sz w:val="24"/>
                <w:szCs w:val="24"/>
              </w:rPr>
            </w:pPr>
          </w:p>
        </w:tc>
        <w:tc>
          <w:tcPr>
            <w:tcW w:w="1605" w:type="dxa"/>
          </w:tcPr>
          <w:p w:rsidR="00436D83" w:rsidRPr="00FE73F0" w:rsidRDefault="00436D83" w:rsidP="00D8132E">
            <w:pPr>
              <w:jc w:val="center"/>
              <w:rPr>
                <w:rFonts w:ascii="Arial" w:hAnsi="Arial" w:cs="Arial"/>
                <w:b/>
                <w:sz w:val="24"/>
                <w:szCs w:val="24"/>
              </w:rPr>
            </w:pPr>
          </w:p>
        </w:tc>
        <w:tc>
          <w:tcPr>
            <w:tcW w:w="1746" w:type="dxa"/>
          </w:tcPr>
          <w:p w:rsidR="00436D83" w:rsidRDefault="00436D83" w:rsidP="00D8132E">
            <w:pPr>
              <w:rPr>
                <w:rFonts w:ascii="Arial" w:hAnsi="Arial" w:cs="Arial"/>
                <w:sz w:val="24"/>
                <w:szCs w:val="24"/>
              </w:rPr>
            </w:pPr>
          </w:p>
        </w:tc>
      </w:tr>
      <w:tr w:rsidR="00436D83" w:rsidTr="00D8132E">
        <w:tc>
          <w:tcPr>
            <w:tcW w:w="539" w:type="dxa"/>
          </w:tcPr>
          <w:p w:rsidR="00436D83" w:rsidRDefault="00436D83" w:rsidP="00D8132E">
            <w:pPr>
              <w:rPr>
                <w:rFonts w:ascii="Arial" w:hAnsi="Arial" w:cs="Arial"/>
                <w:sz w:val="24"/>
                <w:szCs w:val="24"/>
              </w:rPr>
            </w:pPr>
            <w:r>
              <w:rPr>
                <w:rFonts w:ascii="Arial" w:hAnsi="Arial" w:cs="Arial"/>
                <w:sz w:val="24"/>
                <w:szCs w:val="24"/>
              </w:rPr>
              <w:t>4</w:t>
            </w:r>
          </w:p>
        </w:tc>
        <w:tc>
          <w:tcPr>
            <w:tcW w:w="1560" w:type="dxa"/>
          </w:tcPr>
          <w:p w:rsidR="00436D83" w:rsidRDefault="00436D83" w:rsidP="00D8132E">
            <w:pPr>
              <w:rPr>
                <w:rFonts w:ascii="Arial" w:hAnsi="Arial" w:cs="Arial"/>
                <w:sz w:val="24"/>
                <w:szCs w:val="24"/>
              </w:rPr>
            </w:pPr>
          </w:p>
          <w:p w:rsidR="00436D83" w:rsidRDefault="00436D83" w:rsidP="00D8132E">
            <w:pPr>
              <w:rPr>
                <w:rFonts w:ascii="Arial" w:hAnsi="Arial" w:cs="Arial"/>
                <w:sz w:val="24"/>
                <w:szCs w:val="24"/>
              </w:rPr>
            </w:pPr>
          </w:p>
          <w:p w:rsidR="00436D83" w:rsidRDefault="00436D83" w:rsidP="00D8132E">
            <w:pPr>
              <w:rPr>
                <w:rFonts w:ascii="Arial" w:hAnsi="Arial" w:cs="Arial"/>
                <w:sz w:val="24"/>
                <w:szCs w:val="24"/>
              </w:rPr>
            </w:pPr>
          </w:p>
        </w:tc>
        <w:tc>
          <w:tcPr>
            <w:tcW w:w="1865" w:type="dxa"/>
            <w:shd w:val="clear" w:color="auto" w:fill="FFC000" w:themeFill="accent4"/>
          </w:tcPr>
          <w:p w:rsidR="00436D83" w:rsidRPr="00FE73F0" w:rsidRDefault="00436D83" w:rsidP="00D8132E">
            <w:pPr>
              <w:jc w:val="center"/>
              <w:rPr>
                <w:rFonts w:ascii="Arial" w:hAnsi="Arial" w:cs="Arial"/>
                <w:b/>
                <w:sz w:val="24"/>
                <w:szCs w:val="24"/>
              </w:rPr>
            </w:pPr>
            <w:r w:rsidRPr="00FE73F0">
              <w:rPr>
                <w:rFonts w:ascii="Arial" w:hAnsi="Arial" w:cs="Arial"/>
                <w:b/>
                <w:sz w:val="24"/>
                <w:szCs w:val="24"/>
              </w:rPr>
              <w:t>8Z</w:t>
            </w:r>
          </w:p>
          <w:p w:rsidR="00436D83" w:rsidRPr="00FE73F0" w:rsidRDefault="00436D83" w:rsidP="00D8132E">
            <w:pPr>
              <w:jc w:val="center"/>
              <w:rPr>
                <w:rFonts w:ascii="Arial" w:hAnsi="Arial" w:cs="Arial"/>
                <w:b/>
                <w:sz w:val="24"/>
                <w:szCs w:val="24"/>
              </w:rPr>
            </w:pPr>
            <w:r>
              <w:rPr>
                <w:rFonts w:ascii="Arial" w:hAnsi="Arial" w:cs="Arial"/>
                <w:b/>
                <w:sz w:val="24"/>
                <w:szCs w:val="24"/>
              </w:rPr>
              <w:t>Writing</w:t>
            </w:r>
          </w:p>
          <w:p w:rsidR="00436D83" w:rsidRPr="00FE73F0" w:rsidRDefault="00436D83" w:rsidP="00D8132E">
            <w:pPr>
              <w:jc w:val="center"/>
              <w:rPr>
                <w:rFonts w:ascii="Arial" w:hAnsi="Arial" w:cs="Arial"/>
                <w:b/>
                <w:sz w:val="24"/>
                <w:szCs w:val="24"/>
              </w:rPr>
            </w:pPr>
            <w:r>
              <w:rPr>
                <w:rFonts w:ascii="Arial" w:hAnsi="Arial" w:cs="Arial"/>
                <w:b/>
                <w:sz w:val="24"/>
                <w:szCs w:val="24"/>
              </w:rPr>
              <w:t>(Music</w:t>
            </w:r>
            <w:r w:rsidRPr="00FE73F0">
              <w:rPr>
                <w:rFonts w:ascii="Arial" w:hAnsi="Arial" w:cs="Arial"/>
                <w:b/>
                <w:sz w:val="24"/>
                <w:szCs w:val="24"/>
              </w:rPr>
              <w:t>)</w:t>
            </w:r>
          </w:p>
          <w:p w:rsidR="00436D83" w:rsidRPr="00FE73F0" w:rsidRDefault="00436D83" w:rsidP="00D8132E">
            <w:pPr>
              <w:jc w:val="center"/>
              <w:rPr>
                <w:rFonts w:ascii="Arial" w:hAnsi="Arial" w:cs="Arial"/>
                <w:b/>
                <w:sz w:val="24"/>
                <w:szCs w:val="24"/>
              </w:rPr>
            </w:pPr>
          </w:p>
        </w:tc>
        <w:tc>
          <w:tcPr>
            <w:tcW w:w="1701" w:type="dxa"/>
            <w:shd w:val="clear" w:color="auto" w:fill="70AD47" w:themeFill="accent6"/>
          </w:tcPr>
          <w:p w:rsidR="00436D83" w:rsidRPr="00FE73F0" w:rsidRDefault="00436D83" w:rsidP="00D8132E">
            <w:pPr>
              <w:jc w:val="center"/>
              <w:rPr>
                <w:rFonts w:ascii="Arial" w:hAnsi="Arial" w:cs="Arial"/>
                <w:b/>
                <w:sz w:val="24"/>
                <w:szCs w:val="24"/>
              </w:rPr>
            </w:pPr>
            <w:r w:rsidRPr="00FE73F0">
              <w:rPr>
                <w:rFonts w:ascii="Arial" w:hAnsi="Arial" w:cs="Arial"/>
                <w:b/>
                <w:sz w:val="24"/>
                <w:szCs w:val="24"/>
              </w:rPr>
              <w:t>7X</w:t>
            </w:r>
          </w:p>
          <w:p w:rsidR="00436D83" w:rsidRPr="00FE73F0" w:rsidRDefault="00436D83" w:rsidP="00D8132E">
            <w:pPr>
              <w:jc w:val="center"/>
              <w:rPr>
                <w:rFonts w:ascii="Arial" w:hAnsi="Arial" w:cs="Arial"/>
                <w:b/>
                <w:sz w:val="24"/>
                <w:szCs w:val="24"/>
              </w:rPr>
            </w:pPr>
            <w:r w:rsidRPr="00FE73F0">
              <w:rPr>
                <w:rFonts w:ascii="Arial" w:hAnsi="Arial" w:cs="Arial"/>
                <w:b/>
                <w:sz w:val="24"/>
                <w:szCs w:val="24"/>
              </w:rPr>
              <w:t>Reading</w:t>
            </w:r>
          </w:p>
          <w:p w:rsidR="00436D83" w:rsidRPr="00FE73F0" w:rsidRDefault="00436D83" w:rsidP="00D8132E">
            <w:pPr>
              <w:jc w:val="center"/>
              <w:rPr>
                <w:rFonts w:ascii="Arial" w:hAnsi="Arial" w:cs="Arial"/>
                <w:b/>
                <w:sz w:val="24"/>
                <w:szCs w:val="24"/>
              </w:rPr>
            </w:pPr>
            <w:r w:rsidRPr="00FE73F0">
              <w:rPr>
                <w:rFonts w:ascii="Arial" w:hAnsi="Arial" w:cs="Arial"/>
                <w:b/>
                <w:sz w:val="24"/>
                <w:szCs w:val="24"/>
              </w:rPr>
              <w:t>(Art)</w:t>
            </w:r>
          </w:p>
          <w:p w:rsidR="00436D83" w:rsidRPr="00FE73F0" w:rsidRDefault="00436D83" w:rsidP="00D8132E">
            <w:pPr>
              <w:jc w:val="center"/>
              <w:rPr>
                <w:rFonts w:ascii="Arial" w:hAnsi="Arial" w:cs="Arial"/>
                <w:b/>
                <w:sz w:val="24"/>
                <w:szCs w:val="24"/>
              </w:rPr>
            </w:pPr>
          </w:p>
        </w:tc>
        <w:tc>
          <w:tcPr>
            <w:tcW w:w="1605" w:type="dxa"/>
          </w:tcPr>
          <w:p w:rsidR="00436D83" w:rsidRPr="00FE73F0" w:rsidRDefault="00436D83" w:rsidP="00D8132E">
            <w:pPr>
              <w:jc w:val="center"/>
              <w:rPr>
                <w:rFonts w:ascii="Arial" w:hAnsi="Arial" w:cs="Arial"/>
                <w:b/>
                <w:sz w:val="24"/>
                <w:szCs w:val="24"/>
              </w:rPr>
            </w:pPr>
          </w:p>
        </w:tc>
        <w:tc>
          <w:tcPr>
            <w:tcW w:w="1746" w:type="dxa"/>
          </w:tcPr>
          <w:p w:rsidR="00436D83" w:rsidRDefault="00436D83" w:rsidP="00D8132E">
            <w:pPr>
              <w:rPr>
                <w:rFonts w:ascii="Arial" w:hAnsi="Arial" w:cs="Arial"/>
                <w:sz w:val="24"/>
                <w:szCs w:val="24"/>
              </w:rPr>
            </w:pPr>
          </w:p>
        </w:tc>
      </w:tr>
      <w:tr w:rsidR="00436D83" w:rsidTr="00D8132E">
        <w:tc>
          <w:tcPr>
            <w:tcW w:w="539" w:type="dxa"/>
          </w:tcPr>
          <w:p w:rsidR="00436D83" w:rsidRDefault="00436D83" w:rsidP="00D8132E">
            <w:pPr>
              <w:rPr>
                <w:rFonts w:ascii="Arial" w:hAnsi="Arial" w:cs="Arial"/>
                <w:sz w:val="24"/>
                <w:szCs w:val="24"/>
              </w:rPr>
            </w:pPr>
            <w:r>
              <w:rPr>
                <w:rFonts w:ascii="Arial" w:hAnsi="Arial" w:cs="Arial"/>
                <w:sz w:val="24"/>
                <w:szCs w:val="24"/>
              </w:rPr>
              <w:t>5</w:t>
            </w:r>
          </w:p>
        </w:tc>
        <w:tc>
          <w:tcPr>
            <w:tcW w:w="1560" w:type="dxa"/>
          </w:tcPr>
          <w:p w:rsidR="00436D83" w:rsidRDefault="00436D83" w:rsidP="00D8132E">
            <w:pPr>
              <w:rPr>
                <w:rFonts w:ascii="Arial" w:hAnsi="Arial" w:cs="Arial"/>
                <w:sz w:val="24"/>
                <w:szCs w:val="24"/>
              </w:rPr>
            </w:pPr>
          </w:p>
          <w:p w:rsidR="00436D83" w:rsidRDefault="00436D83" w:rsidP="00D8132E">
            <w:pPr>
              <w:rPr>
                <w:rFonts w:ascii="Arial" w:hAnsi="Arial" w:cs="Arial"/>
                <w:sz w:val="24"/>
                <w:szCs w:val="24"/>
              </w:rPr>
            </w:pPr>
          </w:p>
        </w:tc>
        <w:tc>
          <w:tcPr>
            <w:tcW w:w="1865" w:type="dxa"/>
          </w:tcPr>
          <w:p w:rsidR="00436D83" w:rsidRDefault="00436D83" w:rsidP="00D8132E">
            <w:pPr>
              <w:rPr>
                <w:rFonts w:ascii="Arial" w:hAnsi="Arial" w:cs="Arial"/>
                <w:sz w:val="24"/>
                <w:szCs w:val="24"/>
              </w:rPr>
            </w:pPr>
          </w:p>
        </w:tc>
        <w:tc>
          <w:tcPr>
            <w:tcW w:w="1701" w:type="dxa"/>
          </w:tcPr>
          <w:p w:rsidR="00436D83" w:rsidRDefault="00436D83" w:rsidP="00D8132E">
            <w:pPr>
              <w:rPr>
                <w:rFonts w:ascii="Arial" w:hAnsi="Arial" w:cs="Arial"/>
                <w:sz w:val="24"/>
                <w:szCs w:val="24"/>
              </w:rPr>
            </w:pPr>
          </w:p>
        </w:tc>
        <w:tc>
          <w:tcPr>
            <w:tcW w:w="1605" w:type="dxa"/>
          </w:tcPr>
          <w:p w:rsidR="00436D83" w:rsidRDefault="00436D83" w:rsidP="00D8132E">
            <w:pPr>
              <w:rPr>
                <w:rFonts w:ascii="Arial" w:hAnsi="Arial" w:cs="Arial"/>
                <w:sz w:val="24"/>
                <w:szCs w:val="24"/>
              </w:rPr>
            </w:pPr>
          </w:p>
        </w:tc>
        <w:tc>
          <w:tcPr>
            <w:tcW w:w="1746" w:type="dxa"/>
          </w:tcPr>
          <w:p w:rsidR="00436D83" w:rsidRDefault="00436D83" w:rsidP="00D8132E">
            <w:pPr>
              <w:rPr>
                <w:rFonts w:ascii="Arial" w:hAnsi="Arial" w:cs="Arial"/>
                <w:sz w:val="24"/>
                <w:szCs w:val="24"/>
              </w:rPr>
            </w:pPr>
          </w:p>
        </w:tc>
      </w:tr>
    </w:tbl>
    <w:p w:rsidR="00436D83" w:rsidRDefault="00436D83" w:rsidP="00436D83">
      <w:pPr>
        <w:rPr>
          <w:rFonts w:ascii="Arial" w:hAnsi="Arial" w:cs="Arial"/>
          <w:sz w:val="24"/>
          <w:szCs w:val="24"/>
        </w:rPr>
      </w:pPr>
    </w:p>
    <w:tbl>
      <w:tblPr>
        <w:tblStyle w:val="TableGrid"/>
        <w:tblW w:w="0" w:type="auto"/>
        <w:tblLook w:val="04A0" w:firstRow="1" w:lastRow="0" w:firstColumn="1" w:lastColumn="0" w:noHBand="0" w:noVBand="1"/>
      </w:tblPr>
      <w:tblGrid>
        <w:gridCol w:w="539"/>
        <w:gridCol w:w="1866"/>
        <w:gridCol w:w="1418"/>
        <w:gridCol w:w="1559"/>
        <w:gridCol w:w="1888"/>
        <w:gridCol w:w="1746"/>
      </w:tblGrid>
      <w:tr w:rsidR="00436D83" w:rsidTr="00D8132E">
        <w:tc>
          <w:tcPr>
            <w:tcW w:w="9016" w:type="dxa"/>
            <w:gridSpan w:val="6"/>
          </w:tcPr>
          <w:p w:rsidR="00436D83" w:rsidRPr="008954AA" w:rsidRDefault="00436D83" w:rsidP="00D8132E">
            <w:pPr>
              <w:rPr>
                <w:rFonts w:ascii="Arial" w:hAnsi="Arial" w:cs="Arial"/>
                <w:b/>
                <w:sz w:val="24"/>
                <w:szCs w:val="24"/>
              </w:rPr>
            </w:pPr>
            <w:r w:rsidRPr="008954AA">
              <w:rPr>
                <w:rFonts w:ascii="Arial" w:hAnsi="Arial" w:cs="Arial"/>
                <w:b/>
                <w:sz w:val="24"/>
                <w:szCs w:val="24"/>
              </w:rPr>
              <w:t>Week 2</w:t>
            </w:r>
          </w:p>
        </w:tc>
      </w:tr>
      <w:tr w:rsidR="00436D83" w:rsidTr="00D8132E">
        <w:tc>
          <w:tcPr>
            <w:tcW w:w="539" w:type="dxa"/>
          </w:tcPr>
          <w:p w:rsidR="00436D83" w:rsidRDefault="00436D83" w:rsidP="00D8132E">
            <w:pPr>
              <w:rPr>
                <w:rFonts w:ascii="Arial" w:hAnsi="Arial" w:cs="Arial"/>
                <w:sz w:val="24"/>
                <w:szCs w:val="24"/>
              </w:rPr>
            </w:pPr>
          </w:p>
        </w:tc>
        <w:tc>
          <w:tcPr>
            <w:tcW w:w="1866" w:type="dxa"/>
          </w:tcPr>
          <w:p w:rsidR="00436D83" w:rsidRPr="008954AA" w:rsidRDefault="00436D83" w:rsidP="00D8132E">
            <w:pPr>
              <w:rPr>
                <w:rFonts w:ascii="Arial" w:hAnsi="Arial" w:cs="Arial"/>
                <w:b/>
                <w:sz w:val="24"/>
                <w:szCs w:val="24"/>
              </w:rPr>
            </w:pPr>
            <w:r w:rsidRPr="008954AA">
              <w:rPr>
                <w:rFonts w:ascii="Arial" w:hAnsi="Arial" w:cs="Arial"/>
                <w:b/>
                <w:sz w:val="24"/>
                <w:szCs w:val="24"/>
              </w:rPr>
              <w:t xml:space="preserve">Monday </w:t>
            </w:r>
          </w:p>
        </w:tc>
        <w:tc>
          <w:tcPr>
            <w:tcW w:w="1418" w:type="dxa"/>
          </w:tcPr>
          <w:p w:rsidR="00436D83" w:rsidRPr="008954AA" w:rsidRDefault="00436D83" w:rsidP="00D8132E">
            <w:pPr>
              <w:rPr>
                <w:rFonts w:ascii="Arial" w:hAnsi="Arial" w:cs="Arial"/>
                <w:b/>
                <w:sz w:val="24"/>
                <w:szCs w:val="24"/>
              </w:rPr>
            </w:pPr>
            <w:r w:rsidRPr="008954AA">
              <w:rPr>
                <w:rFonts w:ascii="Arial" w:hAnsi="Arial" w:cs="Arial"/>
                <w:b/>
                <w:sz w:val="24"/>
                <w:szCs w:val="24"/>
              </w:rPr>
              <w:t xml:space="preserve">Tuesday </w:t>
            </w:r>
          </w:p>
        </w:tc>
        <w:tc>
          <w:tcPr>
            <w:tcW w:w="1559" w:type="dxa"/>
          </w:tcPr>
          <w:p w:rsidR="00436D83" w:rsidRPr="008954AA" w:rsidRDefault="00436D83" w:rsidP="00D8132E">
            <w:pPr>
              <w:rPr>
                <w:rFonts w:ascii="Arial" w:hAnsi="Arial" w:cs="Arial"/>
                <w:b/>
                <w:sz w:val="24"/>
                <w:szCs w:val="24"/>
              </w:rPr>
            </w:pPr>
            <w:r w:rsidRPr="008954AA">
              <w:rPr>
                <w:rFonts w:ascii="Arial" w:hAnsi="Arial" w:cs="Arial"/>
                <w:b/>
                <w:sz w:val="24"/>
                <w:szCs w:val="24"/>
              </w:rPr>
              <w:t xml:space="preserve">Wednesday </w:t>
            </w:r>
          </w:p>
        </w:tc>
        <w:tc>
          <w:tcPr>
            <w:tcW w:w="1888" w:type="dxa"/>
          </w:tcPr>
          <w:p w:rsidR="00436D83" w:rsidRPr="008954AA" w:rsidRDefault="00436D83" w:rsidP="00D8132E">
            <w:pPr>
              <w:rPr>
                <w:rFonts w:ascii="Arial" w:hAnsi="Arial" w:cs="Arial"/>
                <w:b/>
                <w:sz w:val="24"/>
                <w:szCs w:val="24"/>
              </w:rPr>
            </w:pPr>
            <w:r w:rsidRPr="008954AA">
              <w:rPr>
                <w:rFonts w:ascii="Arial" w:hAnsi="Arial" w:cs="Arial"/>
                <w:b/>
                <w:sz w:val="24"/>
                <w:szCs w:val="24"/>
              </w:rPr>
              <w:t xml:space="preserve">Thursday </w:t>
            </w:r>
          </w:p>
        </w:tc>
        <w:tc>
          <w:tcPr>
            <w:tcW w:w="1746" w:type="dxa"/>
          </w:tcPr>
          <w:p w:rsidR="00436D83" w:rsidRPr="008954AA" w:rsidRDefault="00436D83" w:rsidP="00D8132E">
            <w:pPr>
              <w:rPr>
                <w:rFonts w:ascii="Arial" w:hAnsi="Arial" w:cs="Arial"/>
                <w:b/>
                <w:sz w:val="24"/>
                <w:szCs w:val="24"/>
              </w:rPr>
            </w:pPr>
            <w:r w:rsidRPr="008954AA">
              <w:rPr>
                <w:rFonts w:ascii="Arial" w:hAnsi="Arial" w:cs="Arial"/>
                <w:b/>
                <w:sz w:val="24"/>
                <w:szCs w:val="24"/>
              </w:rPr>
              <w:t xml:space="preserve">Friday </w:t>
            </w:r>
          </w:p>
        </w:tc>
      </w:tr>
      <w:tr w:rsidR="00436D83" w:rsidTr="00D8132E">
        <w:tc>
          <w:tcPr>
            <w:tcW w:w="539" w:type="dxa"/>
          </w:tcPr>
          <w:p w:rsidR="00436D83" w:rsidRDefault="00436D83" w:rsidP="00D8132E">
            <w:pPr>
              <w:rPr>
                <w:rFonts w:ascii="Arial" w:hAnsi="Arial" w:cs="Arial"/>
                <w:sz w:val="24"/>
                <w:szCs w:val="24"/>
              </w:rPr>
            </w:pPr>
            <w:r>
              <w:rPr>
                <w:rFonts w:ascii="Arial" w:hAnsi="Arial" w:cs="Arial"/>
                <w:sz w:val="24"/>
                <w:szCs w:val="24"/>
              </w:rPr>
              <w:t>1</w:t>
            </w:r>
          </w:p>
        </w:tc>
        <w:tc>
          <w:tcPr>
            <w:tcW w:w="1866" w:type="dxa"/>
            <w:shd w:val="clear" w:color="auto" w:fill="FFFF00"/>
          </w:tcPr>
          <w:p w:rsidR="00436D83" w:rsidRPr="00FE73F0" w:rsidRDefault="00436D83" w:rsidP="00D8132E">
            <w:pPr>
              <w:jc w:val="center"/>
              <w:rPr>
                <w:rFonts w:ascii="Arial" w:hAnsi="Arial" w:cs="Arial"/>
                <w:b/>
                <w:sz w:val="24"/>
                <w:szCs w:val="24"/>
              </w:rPr>
            </w:pPr>
            <w:r w:rsidRPr="00FE73F0">
              <w:rPr>
                <w:rFonts w:ascii="Arial" w:hAnsi="Arial" w:cs="Arial"/>
                <w:b/>
                <w:sz w:val="24"/>
                <w:szCs w:val="24"/>
              </w:rPr>
              <w:t>8X</w:t>
            </w:r>
          </w:p>
          <w:p w:rsidR="00436D83" w:rsidRPr="00FE73F0" w:rsidRDefault="00436D83" w:rsidP="00D8132E">
            <w:pPr>
              <w:jc w:val="center"/>
              <w:rPr>
                <w:rFonts w:ascii="Arial" w:hAnsi="Arial" w:cs="Arial"/>
                <w:b/>
                <w:sz w:val="24"/>
                <w:szCs w:val="24"/>
              </w:rPr>
            </w:pPr>
            <w:r w:rsidRPr="00FE73F0">
              <w:rPr>
                <w:rFonts w:ascii="Arial" w:hAnsi="Arial" w:cs="Arial"/>
                <w:b/>
                <w:sz w:val="24"/>
                <w:szCs w:val="24"/>
              </w:rPr>
              <w:t>Reading</w:t>
            </w:r>
          </w:p>
          <w:p w:rsidR="00436D83" w:rsidRPr="00FE73F0" w:rsidRDefault="00436D83" w:rsidP="00D8132E">
            <w:pPr>
              <w:jc w:val="center"/>
              <w:rPr>
                <w:rFonts w:ascii="Arial" w:hAnsi="Arial" w:cs="Arial"/>
                <w:b/>
                <w:sz w:val="24"/>
                <w:szCs w:val="24"/>
              </w:rPr>
            </w:pPr>
            <w:r w:rsidRPr="00FE73F0">
              <w:rPr>
                <w:rFonts w:ascii="Arial" w:hAnsi="Arial" w:cs="Arial"/>
                <w:b/>
                <w:sz w:val="24"/>
                <w:szCs w:val="24"/>
              </w:rPr>
              <w:t>(RE)</w:t>
            </w:r>
          </w:p>
          <w:p w:rsidR="00436D83" w:rsidRPr="00FE73F0" w:rsidRDefault="00436D83" w:rsidP="00D8132E">
            <w:pPr>
              <w:jc w:val="center"/>
              <w:rPr>
                <w:rFonts w:ascii="Arial" w:hAnsi="Arial" w:cs="Arial"/>
                <w:b/>
                <w:sz w:val="24"/>
                <w:szCs w:val="24"/>
              </w:rPr>
            </w:pPr>
          </w:p>
        </w:tc>
        <w:tc>
          <w:tcPr>
            <w:tcW w:w="1418" w:type="dxa"/>
          </w:tcPr>
          <w:p w:rsidR="00436D83" w:rsidRDefault="00436D83" w:rsidP="00D8132E">
            <w:pPr>
              <w:rPr>
                <w:rFonts w:ascii="Arial" w:hAnsi="Arial" w:cs="Arial"/>
                <w:sz w:val="24"/>
                <w:szCs w:val="24"/>
              </w:rPr>
            </w:pPr>
          </w:p>
        </w:tc>
        <w:tc>
          <w:tcPr>
            <w:tcW w:w="1559" w:type="dxa"/>
          </w:tcPr>
          <w:p w:rsidR="00436D83" w:rsidRDefault="00436D83" w:rsidP="00D8132E">
            <w:pPr>
              <w:rPr>
                <w:rFonts w:ascii="Arial" w:hAnsi="Arial" w:cs="Arial"/>
                <w:sz w:val="24"/>
                <w:szCs w:val="24"/>
              </w:rPr>
            </w:pPr>
          </w:p>
        </w:tc>
        <w:tc>
          <w:tcPr>
            <w:tcW w:w="1888" w:type="dxa"/>
          </w:tcPr>
          <w:p w:rsidR="00436D83" w:rsidRDefault="00436D83" w:rsidP="00D8132E">
            <w:pPr>
              <w:rPr>
                <w:rFonts w:ascii="Arial" w:hAnsi="Arial" w:cs="Arial"/>
                <w:sz w:val="24"/>
                <w:szCs w:val="24"/>
              </w:rPr>
            </w:pPr>
          </w:p>
        </w:tc>
        <w:tc>
          <w:tcPr>
            <w:tcW w:w="1746" w:type="dxa"/>
          </w:tcPr>
          <w:p w:rsidR="00436D83" w:rsidRDefault="00436D83" w:rsidP="00D8132E">
            <w:pPr>
              <w:rPr>
                <w:rFonts w:ascii="Arial" w:hAnsi="Arial" w:cs="Arial"/>
                <w:sz w:val="24"/>
                <w:szCs w:val="24"/>
              </w:rPr>
            </w:pPr>
          </w:p>
        </w:tc>
      </w:tr>
      <w:tr w:rsidR="00436D83" w:rsidTr="00D8132E">
        <w:tc>
          <w:tcPr>
            <w:tcW w:w="539" w:type="dxa"/>
          </w:tcPr>
          <w:p w:rsidR="00436D83" w:rsidRDefault="00436D83" w:rsidP="00D8132E">
            <w:pPr>
              <w:rPr>
                <w:rFonts w:ascii="Arial" w:hAnsi="Arial" w:cs="Arial"/>
                <w:sz w:val="24"/>
                <w:szCs w:val="24"/>
              </w:rPr>
            </w:pPr>
            <w:r>
              <w:rPr>
                <w:rFonts w:ascii="Arial" w:hAnsi="Arial" w:cs="Arial"/>
                <w:sz w:val="24"/>
                <w:szCs w:val="24"/>
              </w:rPr>
              <w:t>2</w:t>
            </w:r>
          </w:p>
        </w:tc>
        <w:tc>
          <w:tcPr>
            <w:tcW w:w="1866" w:type="dxa"/>
            <w:shd w:val="clear" w:color="auto" w:fill="FFC000"/>
          </w:tcPr>
          <w:p w:rsidR="00436D83" w:rsidRPr="00FE73F0" w:rsidRDefault="00436D83" w:rsidP="00D8132E">
            <w:pPr>
              <w:jc w:val="center"/>
              <w:rPr>
                <w:rFonts w:ascii="Arial" w:hAnsi="Arial" w:cs="Arial"/>
                <w:b/>
                <w:sz w:val="24"/>
                <w:szCs w:val="24"/>
              </w:rPr>
            </w:pPr>
            <w:r w:rsidRPr="00FE73F0">
              <w:rPr>
                <w:rFonts w:ascii="Arial" w:hAnsi="Arial" w:cs="Arial"/>
                <w:b/>
                <w:sz w:val="24"/>
                <w:szCs w:val="24"/>
              </w:rPr>
              <w:t>8Z</w:t>
            </w:r>
          </w:p>
          <w:p w:rsidR="00436D83" w:rsidRPr="00FE73F0" w:rsidRDefault="00436D83" w:rsidP="00D8132E">
            <w:pPr>
              <w:jc w:val="center"/>
              <w:rPr>
                <w:rFonts w:ascii="Arial" w:hAnsi="Arial" w:cs="Arial"/>
                <w:b/>
                <w:sz w:val="24"/>
                <w:szCs w:val="24"/>
              </w:rPr>
            </w:pPr>
            <w:r w:rsidRPr="00FE73F0">
              <w:rPr>
                <w:rFonts w:ascii="Arial" w:hAnsi="Arial" w:cs="Arial"/>
                <w:b/>
                <w:sz w:val="24"/>
                <w:szCs w:val="24"/>
              </w:rPr>
              <w:t>Reading</w:t>
            </w:r>
          </w:p>
          <w:p w:rsidR="00436D83" w:rsidRPr="00FE73F0" w:rsidRDefault="00436D83" w:rsidP="00D8132E">
            <w:pPr>
              <w:jc w:val="center"/>
              <w:rPr>
                <w:rFonts w:ascii="Arial" w:hAnsi="Arial" w:cs="Arial"/>
                <w:b/>
                <w:sz w:val="24"/>
                <w:szCs w:val="24"/>
              </w:rPr>
            </w:pPr>
            <w:r w:rsidRPr="00FE73F0">
              <w:rPr>
                <w:rFonts w:ascii="Arial" w:hAnsi="Arial" w:cs="Arial"/>
                <w:b/>
                <w:sz w:val="24"/>
                <w:szCs w:val="24"/>
              </w:rPr>
              <w:t>(Spanish)</w:t>
            </w:r>
          </w:p>
          <w:p w:rsidR="00436D83" w:rsidRPr="00FE73F0" w:rsidRDefault="00436D83" w:rsidP="00D8132E">
            <w:pPr>
              <w:rPr>
                <w:rFonts w:ascii="Arial" w:hAnsi="Arial" w:cs="Arial"/>
                <w:b/>
                <w:sz w:val="24"/>
                <w:szCs w:val="24"/>
              </w:rPr>
            </w:pPr>
          </w:p>
        </w:tc>
        <w:tc>
          <w:tcPr>
            <w:tcW w:w="1418" w:type="dxa"/>
          </w:tcPr>
          <w:p w:rsidR="00436D83" w:rsidRDefault="00436D83" w:rsidP="00D8132E">
            <w:pPr>
              <w:rPr>
                <w:rFonts w:ascii="Arial" w:hAnsi="Arial" w:cs="Arial"/>
                <w:sz w:val="24"/>
                <w:szCs w:val="24"/>
              </w:rPr>
            </w:pPr>
          </w:p>
        </w:tc>
        <w:tc>
          <w:tcPr>
            <w:tcW w:w="1559" w:type="dxa"/>
          </w:tcPr>
          <w:p w:rsidR="00436D83" w:rsidRDefault="00436D83" w:rsidP="00D8132E">
            <w:pPr>
              <w:jc w:val="center"/>
              <w:rPr>
                <w:rFonts w:ascii="Arial" w:hAnsi="Arial" w:cs="Arial"/>
                <w:sz w:val="24"/>
                <w:szCs w:val="24"/>
              </w:rPr>
            </w:pPr>
          </w:p>
        </w:tc>
        <w:tc>
          <w:tcPr>
            <w:tcW w:w="1888" w:type="dxa"/>
            <w:shd w:val="clear" w:color="auto" w:fill="FA60E4"/>
          </w:tcPr>
          <w:p w:rsidR="00436D83" w:rsidRPr="00FE73F0" w:rsidRDefault="00436D83" w:rsidP="00D8132E">
            <w:pPr>
              <w:jc w:val="center"/>
              <w:rPr>
                <w:rFonts w:ascii="Arial" w:hAnsi="Arial" w:cs="Arial"/>
                <w:b/>
                <w:sz w:val="24"/>
                <w:szCs w:val="24"/>
              </w:rPr>
            </w:pPr>
            <w:r w:rsidRPr="00FE73F0">
              <w:rPr>
                <w:rFonts w:ascii="Arial" w:hAnsi="Arial" w:cs="Arial"/>
                <w:b/>
                <w:sz w:val="24"/>
                <w:szCs w:val="24"/>
              </w:rPr>
              <w:t>9Z</w:t>
            </w:r>
          </w:p>
          <w:p w:rsidR="00436D83" w:rsidRPr="00FE73F0" w:rsidRDefault="00436D83" w:rsidP="00D8132E">
            <w:pPr>
              <w:jc w:val="center"/>
              <w:rPr>
                <w:rFonts w:ascii="Arial" w:hAnsi="Arial" w:cs="Arial"/>
                <w:b/>
                <w:sz w:val="24"/>
                <w:szCs w:val="24"/>
              </w:rPr>
            </w:pPr>
            <w:r>
              <w:rPr>
                <w:rFonts w:ascii="Arial" w:hAnsi="Arial" w:cs="Arial"/>
                <w:b/>
                <w:sz w:val="24"/>
                <w:szCs w:val="24"/>
              </w:rPr>
              <w:t>Reading</w:t>
            </w:r>
          </w:p>
          <w:p w:rsidR="00436D83" w:rsidRPr="00FE73F0" w:rsidRDefault="00436D83" w:rsidP="00D8132E">
            <w:pPr>
              <w:jc w:val="center"/>
              <w:rPr>
                <w:rFonts w:ascii="Arial" w:hAnsi="Arial" w:cs="Arial"/>
                <w:b/>
                <w:sz w:val="24"/>
                <w:szCs w:val="24"/>
              </w:rPr>
            </w:pPr>
            <w:r w:rsidRPr="00FE73F0">
              <w:rPr>
                <w:rFonts w:ascii="Arial" w:hAnsi="Arial" w:cs="Arial"/>
                <w:b/>
                <w:sz w:val="24"/>
                <w:szCs w:val="24"/>
              </w:rPr>
              <w:t>(German)</w:t>
            </w:r>
          </w:p>
          <w:p w:rsidR="00436D83" w:rsidRPr="00FE73F0" w:rsidRDefault="00436D83" w:rsidP="00D8132E">
            <w:pPr>
              <w:jc w:val="center"/>
              <w:rPr>
                <w:rFonts w:ascii="Arial" w:hAnsi="Arial" w:cs="Arial"/>
                <w:b/>
                <w:sz w:val="24"/>
                <w:szCs w:val="24"/>
              </w:rPr>
            </w:pPr>
          </w:p>
        </w:tc>
        <w:tc>
          <w:tcPr>
            <w:tcW w:w="1746" w:type="dxa"/>
          </w:tcPr>
          <w:p w:rsidR="00436D83" w:rsidRDefault="00436D83" w:rsidP="00D8132E">
            <w:pPr>
              <w:rPr>
                <w:rFonts w:ascii="Arial" w:hAnsi="Arial" w:cs="Arial"/>
                <w:sz w:val="24"/>
                <w:szCs w:val="24"/>
              </w:rPr>
            </w:pPr>
          </w:p>
        </w:tc>
      </w:tr>
      <w:tr w:rsidR="00436D83" w:rsidTr="00D8132E">
        <w:tc>
          <w:tcPr>
            <w:tcW w:w="539" w:type="dxa"/>
          </w:tcPr>
          <w:p w:rsidR="00436D83" w:rsidRDefault="00436D83" w:rsidP="00D8132E">
            <w:pPr>
              <w:rPr>
                <w:rFonts w:ascii="Arial" w:hAnsi="Arial" w:cs="Arial"/>
                <w:sz w:val="24"/>
                <w:szCs w:val="24"/>
              </w:rPr>
            </w:pPr>
            <w:r>
              <w:rPr>
                <w:rFonts w:ascii="Arial" w:hAnsi="Arial" w:cs="Arial"/>
                <w:sz w:val="24"/>
                <w:szCs w:val="24"/>
              </w:rPr>
              <w:t>3</w:t>
            </w:r>
          </w:p>
        </w:tc>
        <w:tc>
          <w:tcPr>
            <w:tcW w:w="1866" w:type="dxa"/>
            <w:shd w:val="clear" w:color="auto" w:fill="A8D08D" w:themeFill="accent6" w:themeFillTint="99"/>
          </w:tcPr>
          <w:p w:rsidR="00436D83" w:rsidRPr="00FE73F0" w:rsidRDefault="00436D83" w:rsidP="00D8132E">
            <w:pPr>
              <w:jc w:val="center"/>
              <w:rPr>
                <w:rFonts w:ascii="Arial" w:hAnsi="Arial" w:cs="Arial"/>
                <w:b/>
                <w:sz w:val="24"/>
                <w:szCs w:val="24"/>
              </w:rPr>
            </w:pPr>
            <w:r w:rsidRPr="00FE73F0">
              <w:rPr>
                <w:rFonts w:ascii="Arial" w:hAnsi="Arial" w:cs="Arial"/>
                <w:b/>
                <w:sz w:val="24"/>
                <w:szCs w:val="24"/>
              </w:rPr>
              <w:t>7Y</w:t>
            </w:r>
          </w:p>
          <w:p w:rsidR="00436D83" w:rsidRPr="00FE73F0" w:rsidRDefault="00436D83" w:rsidP="00D8132E">
            <w:pPr>
              <w:jc w:val="center"/>
              <w:rPr>
                <w:rFonts w:ascii="Arial" w:hAnsi="Arial" w:cs="Arial"/>
                <w:b/>
                <w:sz w:val="24"/>
                <w:szCs w:val="24"/>
              </w:rPr>
            </w:pPr>
            <w:r w:rsidRPr="00FE73F0">
              <w:rPr>
                <w:rFonts w:ascii="Arial" w:hAnsi="Arial" w:cs="Arial"/>
                <w:b/>
                <w:sz w:val="24"/>
                <w:szCs w:val="24"/>
              </w:rPr>
              <w:t>Reading</w:t>
            </w:r>
          </w:p>
          <w:p w:rsidR="00436D83" w:rsidRPr="00FE73F0" w:rsidRDefault="00436D83" w:rsidP="00D8132E">
            <w:pPr>
              <w:jc w:val="center"/>
              <w:rPr>
                <w:rFonts w:ascii="Arial" w:hAnsi="Arial" w:cs="Arial"/>
                <w:b/>
                <w:sz w:val="24"/>
                <w:szCs w:val="24"/>
              </w:rPr>
            </w:pPr>
            <w:r w:rsidRPr="00FE73F0">
              <w:rPr>
                <w:rFonts w:ascii="Arial" w:hAnsi="Arial" w:cs="Arial"/>
                <w:b/>
                <w:sz w:val="24"/>
                <w:szCs w:val="24"/>
              </w:rPr>
              <w:t>(Art)</w:t>
            </w:r>
          </w:p>
          <w:p w:rsidR="00436D83" w:rsidRPr="00FE73F0" w:rsidRDefault="00436D83" w:rsidP="00D8132E">
            <w:pPr>
              <w:rPr>
                <w:rFonts w:ascii="Arial" w:hAnsi="Arial" w:cs="Arial"/>
                <w:b/>
                <w:sz w:val="24"/>
                <w:szCs w:val="24"/>
              </w:rPr>
            </w:pPr>
          </w:p>
        </w:tc>
        <w:tc>
          <w:tcPr>
            <w:tcW w:w="1418" w:type="dxa"/>
          </w:tcPr>
          <w:p w:rsidR="00436D83" w:rsidRDefault="00436D83" w:rsidP="00D8132E">
            <w:pPr>
              <w:rPr>
                <w:rFonts w:ascii="Arial" w:hAnsi="Arial" w:cs="Arial"/>
                <w:sz w:val="24"/>
                <w:szCs w:val="24"/>
              </w:rPr>
            </w:pPr>
          </w:p>
        </w:tc>
        <w:tc>
          <w:tcPr>
            <w:tcW w:w="1559" w:type="dxa"/>
          </w:tcPr>
          <w:p w:rsidR="00436D83" w:rsidRDefault="00436D83" w:rsidP="00D8132E">
            <w:pPr>
              <w:jc w:val="center"/>
              <w:rPr>
                <w:rFonts w:ascii="Arial" w:hAnsi="Arial" w:cs="Arial"/>
                <w:sz w:val="24"/>
                <w:szCs w:val="24"/>
              </w:rPr>
            </w:pPr>
          </w:p>
        </w:tc>
        <w:tc>
          <w:tcPr>
            <w:tcW w:w="1888" w:type="dxa"/>
            <w:shd w:val="clear" w:color="auto" w:fill="A8D08D" w:themeFill="accent6" w:themeFillTint="99"/>
          </w:tcPr>
          <w:p w:rsidR="00436D83" w:rsidRPr="00FE73F0" w:rsidRDefault="00436D83" w:rsidP="00D8132E">
            <w:pPr>
              <w:jc w:val="center"/>
              <w:rPr>
                <w:rFonts w:ascii="Arial" w:hAnsi="Arial" w:cs="Arial"/>
                <w:b/>
                <w:sz w:val="24"/>
                <w:szCs w:val="24"/>
              </w:rPr>
            </w:pPr>
            <w:r w:rsidRPr="00FE73F0">
              <w:rPr>
                <w:rFonts w:ascii="Arial" w:hAnsi="Arial" w:cs="Arial"/>
                <w:b/>
                <w:sz w:val="24"/>
                <w:szCs w:val="24"/>
              </w:rPr>
              <w:t>7Y</w:t>
            </w:r>
          </w:p>
          <w:p w:rsidR="00436D83" w:rsidRPr="00FE73F0" w:rsidRDefault="00436D83" w:rsidP="00D8132E">
            <w:pPr>
              <w:jc w:val="center"/>
              <w:rPr>
                <w:rFonts w:ascii="Arial" w:hAnsi="Arial" w:cs="Arial"/>
                <w:b/>
                <w:sz w:val="24"/>
                <w:szCs w:val="24"/>
              </w:rPr>
            </w:pPr>
            <w:r w:rsidRPr="00FE73F0">
              <w:rPr>
                <w:rFonts w:ascii="Arial" w:hAnsi="Arial" w:cs="Arial"/>
                <w:b/>
                <w:sz w:val="24"/>
                <w:szCs w:val="24"/>
              </w:rPr>
              <w:t>Reading AR lesson</w:t>
            </w:r>
          </w:p>
          <w:p w:rsidR="00436D83" w:rsidRPr="00FE73F0" w:rsidRDefault="00436D83" w:rsidP="00D8132E">
            <w:pPr>
              <w:jc w:val="center"/>
              <w:rPr>
                <w:rFonts w:ascii="Arial" w:hAnsi="Arial" w:cs="Arial"/>
                <w:b/>
                <w:sz w:val="24"/>
                <w:szCs w:val="24"/>
              </w:rPr>
            </w:pPr>
            <w:r w:rsidRPr="00FE73F0">
              <w:rPr>
                <w:rFonts w:ascii="Arial" w:hAnsi="Arial" w:cs="Arial"/>
                <w:b/>
                <w:sz w:val="24"/>
                <w:szCs w:val="24"/>
              </w:rPr>
              <w:t>(Computer Science)</w:t>
            </w:r>
          </w:p>
          <w:p w:rsidR="00436D83" w:rsidRPr="00FE73F0" w:rsidRDefault="00436D83" w:rsidP="00D8132E">
            <w:pPr>
              <w:jc w:val="center"/>
              <w:rPr>
                <w:rFonts w:ascii="Arial" w:hAnsi="Arial" w:cs="Arial"/>
                <w:b/>
                <w:sz w:val="24"/>
                <w:szCs w:val="24"/>
              </w:rPr>
            </w:pPr>
          </w:p>
        </w:tc>
        <w:tc>
          <w:tcPr>
            <w:tcW w:w="1746" w:type="dxa"/>
          </w:tcPr>
          <w:p w:rsidR="00436D83" w:rsidRDefault="00436D83" w:rsidP="00D8132E">
            <w:pPr>
              <w:rPr>
                <w:rFonts w:ascii="Arial" w:hAnsi="Arial" w:cs="Arial"/>
                <w:sz w:val="24"/>
                <w:szCs w:val="24"/>
              </w:rPr>
            </w:pPr>
          </w:p>
        </w:tc>
      </w:tr>
      <w:tr w:rsidR="00436D83" w:rsidTr="00D8132E">
        <w:tc>
          <w:tcPr>
            <w:tcW w:w="539" w:type="dxa"/>
          </w:tcPr>
          <w:p w:rsidR="00436D83" w:rsidRDefault="00436D83" w:rsidP="00D8132E">
            <w:pPr>
              <w:rPr>
                <w:rFonts w:ascii="Arial" w:hAnsi="Arial" w:cs="Arial"/>
                <w:sz w:val="24"/>
                <w:szCs w:val="24"/>
              </w:rPr>
            </w:pPr>
            <w:r>
              <w:rPr>
                <w:rFonts w:ascii="Arial" w:hAnsi="Arial" w:cs="Arial"/>
                <w:sz w:val="24"/>
                <w:szCs w:val="24"/>
              </w:rPr>
              <w:t>4</w:t>
            </w:r>
          </w:p>
        </w:tc>
        <w:tc>
          <w:tcPr>
            <w:tcW w:w="1866" w:type="dxa"/>
            <w:shd w:val="clear" w:color="auto" w:fill="FDB9FA"/>
          </w:tcPr>
          <w:p w:rsidR="00436D83" w:rsidRPr="00FE73F0" w:rsidRDefault="00436D83" w:rsidP="00D8132E">
            <w:pPr>
              <w:jc w:val="center"/>
              <w:rPr>
                <w:rFonts w:ascii="Arial" w:hAnsi="Arial" w:cs="Arial"/>
                <w:b/>
                <w:sz w:val="24"/>
                <w:szCs w:val="24"/>
              </w:rPr>
            </w:pPr>
            <w:r w:rsidRPr="00FE73F0">
              <w:rPr>
                <w:rFonts w:ascii="Arial" w:hAnsi="Arial" w:cs="Arial"/>
                <w:b/>
                <w:sz w:val="24"/>
                <w:szCs w:val="24"/>
              </w:rPr>
              <w:t>9X</w:t>
            </w:r>
          </w:p>
          <w:p w:rsidR="00436D83" w:rsidRPr="00FE73F0" w:rsidRDefault="00436D83" w:rsidP="00D8132E">
            <w:pPr>
              <w:jc w:val="center"/>
              <w:rPr>
                <w:rFonts w:ascii="Arial" w:hAnsi="Arial" w:cs="Arial"/>
                <w:b/>
                <w:sz w:val="24"/>
                <w:szCs w:val="24"/>
              </w:rPr>
            </w:pPr>
            <w:r w:rsidRPr="00FE73F0">
              <w:rPr>
                <w:rFonts w:ascii="Arial" w:hAnsi="Arial" w:cs="Arial"/>
                <w:b/>
                <w:sz w:val="24"/>
                <w:szCs w:val="24"/>
              </w:rPr>
              <w:t>Reading</w:t>
            </w:r>
          </w:p>
          <w:p w:rsidR="00436D83" w:rsidRPr="00FE73F0" w:rsidRDefault="00436D83" w:rsidP="00D8132E">
            <w:pPr>
              <w:jc w:val="center"/>
              <w:rPr>
                <w:rFonts w:ascii="Arial" w:hAnsi="Arial" w:cs="Arial"/>
                <w:b/>
                <w:sz w:val="24"/>
                <w:szCs w:val="24"/>
              </w:rPr>
            </w:pPr>
            <w:r w:rsidRPr="00FE73F0">
              <w:rPr>
                <w:rFonts w:ascii="Arial" w:hAnsi="Arial" w:cs="Arial"/>
                <w:b/>
                <w:sz w:val="24"/>
                <w:szCs w:val="24"/>
              </w:rPr>
              <w:t>(Music)</w:t>
            </w:r>
          </w:p>
          <w:p w:rsidR="00436D83" w:rsidRPr="00FE73F0" w:rsidRDefault="00436D83" w:rsidP="00D8132E">
            <w:pPr>
              <w:rPr>
                <w:rFonts w:ascii="Arial" w:hAnsi="Arial" w:cs="Arial"/>
                <w:b/>
                <w:sz w:val="24"/>
                <w:szCs w:val="24"/>
              </w:rPr>
            </w:pPr>
          </w:p>
        </w:tc>
        <w:tc>
          <w:tcPr>
            <w:tcW w:w="1418" w:type="dxa"/>
          </w:tcPr>
          <w:p w:rsidR="00436D83" w:rsidRDefault="00436D83" w:rsidP="00D8132E">
            <w:pPr>
              <w:rPr>
                <w:rFonts w:ascii="Arial" w:hAnsi="Arial" w:cs="Arial"/>
                <w:sz w:val="24"/>
                <w:szCs w:val="24"/>
              </w:rPr>
            </w:pPr>
          </w:p>
        </w:tc>
        <w:tc>
          <w:tcPr>
            <w:tcW w:w="1559" w:type="dxa"/>
          </w:tcPr>
          <w:p w:rsidR="00436D83" w:rsidRDefault="00436D83" w:rsidP="00D8132E">
            <w:pPr>
              <w:rPr>
                <w:rFonts w:ascii="Arial" w:hAnsi="Arial" w:cs="Arial"/>
                <w:sz w:val="24"/>
                <w:szCs w:val="24"/>
              </w:rPr>
            </w:pPr>
          </w:p>
        </w:tc>
        <w:tc>
          <w:tcPr>
            <w:tcW w:w="1888" w:type="dxa"/>
            <w:shd w:val="clear" w:color="auto" w:fill="FDB9FA"/>
          </w:tcPr>
          <w:p w:rsidR="00436D83" w:rsidRPr="00FE73F0" w:rsidRDefault="00436D83" w:rsidP="00D8132E">
            <w:pPr>
              <w:jc w:val="center"/>
              <w:rPr>
                <w:rFonts w:ascii="Arial" w:hAnsi="Arial" w:cs="Arial"/>
                <w:b/>
                <w:sz w:val="24"/>
                <w:szCs w:val="24"/>
              </w:rPr>
            </w:pPr>
            <w:r w:rsidRPr="00FE73F0">
              <w:rPr>
                <w:rFonts w:ascii="Arial" w:hAnsi="Arial" w:cs="Arial"/>
                <w:b/>
                <w:sz w:val="24"/>
                <w:szCs w:val="24"/>
              </w:rPr>
              <w:t>9X</w:t>
            </w:r>
          </w:p>
          <w:p w:rsidR="00436D83" w:rsidRPr="00FE73F0" w:rsidRDefault="00436D83" w:rsidP="00D8132E">
            <w:pPr>
              <w:jc w:val="center"/>
              <w:rPr>
                <w:rFonts w:ascii="Arial" w:hAnsi="Arial" w:cs="Arial"/>
                <w:b/>
                <w:sz w:val="24"/>
                <w:szCs w:val="24"/>
              </w:rPr>
            </w:pPr>
            <w:r w:rsidRPr="00FE73F0">
              <w:rPr>
                <w:rFonts w:ascii="Arial" w:hAnsi="Arial" w:cs="Arial"/>
                <w:b/>
                <w:sz w:val="24"/>
                <w:szCs w:val="24"/>
              </w:rPr>
              <w:t>Reading</w:t>
            </w:r>
          </w:p>
          <w:p w:rsidR="00436D83" w:rsidRPr="00FE73F0" w:rsidRDefault="00436D83" w:rsidP="00D8132E">
            <w:pPr>
              <w:jc w:val="center"/>
              <w:rPr>
                <w:rFonts w:ascii="Arial" w:hAnsi="Arial" w:cs="Arial"/>
                <w:b/>
                <w:sz w:val="24"/>
                <w:szCs w:val="24"/>
              </w:rPr>
            </w:pPr>
            <w:r w:rsidRPr="00FE73F0">
              <w:rPr>
                <w:rFonts w:ascii="Arial" w:hAnsi="Arial" w:cs="Arial"/>
                <w:b/>
                <w:sz w:val="24"/>
                <w:szCs w:val="24"/>
              </w:rPr>
              <w:t>(Art)</w:t>
            </w:r>
          </w:p>
          <w:p w:rsidR="00436D83" w:rsidRPr="00FE73F0" w:rsidRDefault="00436D83" w:rsidP="00D8132E">
            <w:pPr>
              <w:jc w:val="center"/>
              <w:rPr>
                <w:rFonts w:ascii="Arial" w:hAnsi="Arial" w:cs="Arial"/>
                <w:b/>
                <w:sz w:val="24"/>
                <w:szCs w:val="24"/>
              </w:rPr>
            </w:pPr>
          </w:p>
        </w:tc>
        <w:tc>
          <w:tcPr>
            <w:tcW w:w="1746" w:type="dxa"/>
          </w:tcPr>
          <w:p w:rsidR="00436D83" w:rsidRDefault="00436D83" w:rsidP="00D8132E">
            <w:pPr>
              <w:rPr>
                <w:rFonts w:ascii="Arial" w:hAnsi="Arial" w:cs="Arial"/>
                <w:sz w:val="24"/>
                <w:szCs w:val="24"/>
              </w:rPr>
            </w:pPr>
          </w:p>
        </w:tc>
      </w:tr>
      <w:tr w:rsidR="00436D83" w:rsidTr="00D8132E">
        <w:tc>
          <w:tcPr>
            <w:tcW w:w="539" w:type="dxa"/>
          </w:tcPr>
          <w:p w:rsidR="00436D83" w:rsidRDefault="00436D83" w:rsidP="00D8132E">
            <w:pPr>
              <w:rPr>
                <w:rFonts w:ascii="Arial" w:hAnsi="Arial" w:cs="Arial"/>
                <w:sz w:val="24"/>
                <w:szCs w:val="24"/>
              </w:rPr>
            </w:pPr>
            <w:r>
              <w:rPr>
                <w:rFonts w:ascii="Arial" w:hAnsi="Arial" w:cs="Arial"/>
                <w:sz w:val="24"/>
                <w:szCs w:val="24"/>
              </w:rPr>
              <w:t>5</w:t>
            </w:r>
          </w:p>
        </w:tc>
        <w:tc>
          <w:tcPr>
            <w:tcW w:w="1866" w:type="dxa"/>
            <w:shd w:val="clear" w:color="auto" w:fill="70AD47" w:themeFill="accent6"/>
          </w:tcPr>
          <w:p w:rsidR="00436D83" w:rsidRPr="00FE73F0" w:rsidRDefault="00436D83" w:rsidP="00D8132E">
            <w:pPr>
              <w:jc w:val="center"/>
              <w:rPr>
                <w:rFonts w:ascii="Arial" w:hAnsi="Arial" w:cs="Arial"/>
                <w:b/>
                <w:sz w:val="24"/>
                <w:szCs w:val="24"/>
              </w:rPr>
            </w:pPr>
            <w:r w:rsidRPr="00FE73F0">
              <w:rPr>
                <w:rFonts w:ascii="Arial" w:hAnsi="Arial" w:cs="Arial"/>
                <w:b/>
                <w:sz w:val="24"/>
                <w:szCs w:val="24"/>
              </w:rPr>
              <w:t>7X</w:t>
            </w:r>
          </w:p>
          <w:p w:rsidR="00436D83" w:rsidRPr="00FE73F0" w:rsidRDefault="00436D83" w:rsidP="00D8132E">
            <w:pPr>
              <w:jc w:val="center"/>
              <w:rPr>
                <w:rFonts w:ascii="Arial" w:hAnsi="Arial" w:cs="Arial"/>
                <w:b/>
                <w:sz w:val="24"/>
                <w:szCs w:val="24"/>
              </w:rPr>
            </w:pPr>
            <w:r w:rsidRPr="00FE73F0">
              <w:rPr>
                <w:rFonts w:ascii="Arial" w:hAnsi="Arial" w:cs="Arial"/>
                <w:b/>
                <w:sz w:val="24"/>
                <w:szCs w:val="24"/>
              </w:rPr>
              <w:t>Reading AR lesson</w:t>
            </w:r>
          </w:p>
          <w:p w:rsidR="00436D83" w:rsidRPr="00FE73F0" w:rsidRDefault="00436D83" w:rsidP="00D8132E">
            <w:pPr>
              <w:jc w:val="center"/>
              <w:rPr>
                <w:rFonts w:ascii="Arial" w:hAnsi="Arial" w:cs="Arial"/>
                <w:b/>
                <w:sz w:val="24"/>
                <w:szCs w:val="24"/>
              </w:rPr>
            </w:pPr>
            <w:r w:rsidRPr="00FE73F0">
              <w:rPr>
                <w:rFonts w:ascii="Arial" w:hAnsi="Arial" w:cs="Arial"/>
                <w:b/>
                <w:sz w:val="24"/>
                <w:szCs w:val="24"/>
              </w:rPr>
              <w:t>(History)</w:t>
            </w:r>
          </w:p>
          <w:p w:rsidR="00436D83" w:rsidRPr="00FE73F0" w:rsidRDefault="00436D83" w:rsidP="00D8132E">
            <w:pPr>
              <w:rPr>
                <w:rFonts w:ascii="Arial" w:hAnsi="Arial" w:cs="Arial"/>
                <w:b/>
                <w:sz w:val="24"/>
                <w:szCs w:val="24"/>
              </w:rPr>
            </w:pPr>
          </w:p>
        </w:tc>
        <w:tc>
          <w:tcPr>
            <w:tcW w:w="1418" w:type="dxa"/>
          </w:tcPr>
          <w:p w:rsidR="00436D83" w:rsidRDefault="00436D83" w:rsidP="00D8132E">
            <w:pPr>
              <w:rPr>
                <w:rFonts w:ascii="Arial" w:hAnsi="Arial" w:cs="Arial"/>
                <w:sz w:val="24"/>
                <w:szCs w:val="24"/>
              </w:rPr>
            </w:pPr>
          </w:p>
        </w:tc>
        <w:tc>
          <w:tcPr>
            <w:tcW w:w="1559" w:type="dxa"/>
          </w:tcPr>
          <w:p w:rsidR="00436D83" w:rsidRDefault="00436D83" w:rsidP="00D8132E">
            <w:pPr>
              <w:rPr>
                <w:rFonts w:ascii="Arial" w:hAnsi="Arial" w:cs="Arial"/>
                <w:sz w:val="24"/>
                <w:szCs w:val="24"/>
              </w:rPr>
            </w:pPr>
          </w:p>
        </w:tc>
        <w:tc>
          <w:tcPr>
            <w:tcW w:w="1888" w:type="dxa"/>
          </w:tcPr>
          <w:p w:rsidR="00436D83" w:rsidRDefault="00436D83" w:rsidP="00D8132E">
            <w:pPr>
              <w:rPr>
                <w:rFonts w:ascii="Arial" w:hAnsi="Arial" w:cs="Arial"/>
                <w:sz w:val="24"/>
                <w:szCs w:val="24"/>
              </w:rPr>
            </w:pPr>
          </w:p>
        </w:tc>
        <w:tc>
          <w:tcPr>
            <w:tcW w:w="1746" w:type="dxa"/>
          </w:tcPr>
          <w:p w:rsidR="00436D83" w:rsidRDefault="00436D83" w:rsidP="00D8132E">
            <w:pPr>
              <w:rPr>
                <w:rFonts w:ascii="Arial" w:hAnsi="Arial" w:cs="Arial"/>
                <w:sz w:val="24"/>
                <w:szCs w:val="24"/>
              </w:rPr>
            </w:pPr>
          </w:p>
        </w:tc>
      </w:tr>
    </w:tbl>
    <w:p w:rsidR="00436D83" w:rsidRPr="0037448C" w:rsidRDefault="00436D83" w:rsidP="00436D83">
      <w:pPr>
        <w:rPr>
          <w:rFonts w:ascii="Arial" w:hAnsi="Arial" w:cs="Arial"/>
          <w:sz w:val="24"/>
          <w:szCs w:val="24"/>
        </w:rPr>
      </w:pPr>
    </w:p>
    <w:p w:rsidR="00B4368F" w:rsidRDefault="00FE40BA"/>
    <w:sectPr w:rsidR="00B4368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4C2B" w:rsidRDefault="00184C2B" w:rsidP="00184C2B">
      <w:pPr>
        <w:spacing w:after="0" w:line="240" w:lineRule="auto"/>
      </w:pPr>
      <w:r>
        <w:separator/>
      </w:r>
    </w:p>
  </w:endnote>
  <w:endnote w:type="continuationSeparator" w:id="0">
    <w:p w:rsidR="00184C2B" w:rsidRDefault="00184C2B" w:rsidP="00184C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052E" w:rsidRDefault="00F771EB">
    <w:pPr>
      <w:pStyle w:val="Footer"/>
      <w:ind w:firstLine="4513"/>
    </w:pPr>
    <w:r>
      <w:fldChar w:fldCharType="begin"/>
    </w:r>
    <w:r>
      <w:instrText xml:space="preserve"> PAGE </w:instrText>
    </w:r>
    <w:r>
      <w:fldChar w:fldCharType="separate"/>
    </w:r>
    <w:r w:rsidR="00FE40BA">
      <w:rPr>
        <w:noProof/>
      </w:rPr>
      <w:t>10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4C2B" w:rsidRDefault="00184C2B" w:rsidP="00184C2B">
      <w:pPr>
        <w:spacing w:after="0" w:line="240" w:lineRule="auto"/>
      </w:pPr>
      <w:r>
        <w:separator/>
      </w:r>
    </w:p>
  </w:footnote>
  <w:footnote w:type="continuationSeparator" w:id="0">
    <w:p w:rsidR="00184C2B" w:rsidRDefault="00184C2B" w:rsidP="00184C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9568229"/>
      <w:docPartObj>
        <w:docPartGallery w:val="Watermarks"/>
        <w:docPartUnique/>
      </w:docPartObj>
    </w:sdtPr>
    <w:sdtEndPr/>
    <w:sdtContent>
      <w:p w:rsidR="00BD3B85" w:rsidRDefault="00FE40BA">
        <w:pPr>
          <w:pStyle w:val="Header"/>
        </w:pPr>
        <w:r>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2EFCAEF"/>
    <w:multiLevelType w:val="hybridMultilevel"/>
    <w:tmpl w:val="03DD76B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748EF36"/>
    <w:multiLevelType w:val="hybridMultilevel"/>
    <w:tmpl w:val="314806C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25C9414D"/>
    <w:multiLevelType w:val="hybridMultilevel"/>
    <w:tmpl w:val="1EA4C5AA"/>
    <w:lvl w:ilvl="0" w:tplc="85743074">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74B218B8"/>
    <w:multiLevelType w:val="hybridMultilevel"/>
    <w:tmpl w:val="DD86E2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7FA4A3C9"/>
    <w:multiLevelType w:val="hybridMultilevel"/>
    <w:tmpl w:val="9844F00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22D"/>
    <w:rsid w:val="00037D66"/>
    <w:rsid w:val="00147163"/>
    <w:rsid w:val="00184C2B"/>
    <w:rsid w:val="00217903"/>
    <w:rsid w:val="002424F8"/>
    <w:rsid w:val="002564AA"/>
    <w:rsid w:val="0035522D"/>
    <w:rsid w:val="003C4A51"/>
    <w:rsid w:val="00422AD6"/>
    <w:rsid w:val="00436D83"/>
    <w:rsid w:val="00484ABC"/>
    <w:rsid w:val="004A0624"/>
    <w:rsid w:val="005006ED"/>
    <w:rsid w:val="0054232D"/>
    <w:rsid w:val="006678A1"/>
    <w:rsid w:val="006D5D7E"/>
    <w:rsid w:val="007161DA"/>
    <w:rsid w:val="00754E13"/>
    <w:rsid w:val="008E0DF2"/>
    <w:rsid w:val="00943262"/>
    <w:rsid w:val="00A07A81"/>
    <w:rsid w:val="00A20FDA"/>
    <w:rsid w:val="00AA6465"/>
    <w:rsid w:val="00B71978"/>
    <w:rsid w:val="00BD3B85"/>
    <w:rsid w:val="00DE6128"/>
    <w:rsid w:val="00E706C1"/>
    <w:rsid w:val="00EA425F"/>
    <w:rsid w:val="00ED135A"/>
    <w:rsid w:val="00EE758F"/>
    <w:rsid w:val="00F17A25"/>
    <w:rsid w:val="00F37606"/>
    <w:rsid w:val="00F53BE4"/>
    <w:rsid w:val="00F771EB"/>
    <w:rsid w:val="00FE40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58FBBAC"/>
  <w15:chartTrackingRefBased/>
  <w15:docId w15:val="{095881AD-3A28-4F72-8B99-82B1FE736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5522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5522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3760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5522D"/>
    <w:pPr>
      <w:tabs>
        <w:tab w:val="center" w:pos="4513"/>
        <w:tab w:val="right" w:pos="9026"/>
      </w:tabs>
      <w:suppressAutoHyphens/>
      <w:autoSpaceDN w:val="0"/>
      <w:spacing w:after="0" w:line="240" w:lineRule="auto"/>
      <w:textAlignment w:val="baseline"/>
    </w:pPr>
    <w:rPr>
      <w:rFonts w:ascii="Arial" w:eastAsia="Times New Roman" w:hAnsi="Arial" w:cs="Times New Roman"/>
      <w:color w:val="0D0D0D"/>
      <w:sz w:val="24"/>
      <w:szCs w:val="24"/>
      <w:lang w:eastAsia="en-GB"/>
    </w:rPr>
  </w:style>
  <w:style w:type="character" w:customStyle="1" w:styleId="FooterChar">
    <w:name w:val="Footer Char"/>
    <w:basedOn w:val="DefaultParagraphFont"/>
    <w:link w:val="Footer"/>
    <w:rsid w:val="0035522D"/>
    <w:rPr>
      <w:rFonts w:ascii="Arial" w:eastAsia="Times New Roman" w:hAnsi="Arial" w:cs="Times New Roman"/>
      <w:color w:val="0D0D0D"/>
      <w:sz w:val="24"/>
      <w:szCs w:val="24"/>
      <w:lang w:eastAsia="en-GB"/>
    </w:rPr>
  </w:style>
  <w:style w:type="paragraph" w:styleId="Title">
    <w:name w:val="Title"/>
    <w:basedOn w:val="Normal"/>
    <w:next w:val="Normal"/>
    <w:link w:val="TitleChar"/>
    <w:uiPriority w:val="10"/>
    <w:qFormat/>
    <w:rsid w:val="0035522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5522D"/>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5522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5522D"/>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5006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A425F"/>
    <w:pPr>
      <w:ind w:left="720"/>
      <w:contextualSpacing/>
    </w:pPr>
  </w:style>
  <w:style w:type="paragraph" w:styleId="Header">
    <w:name w:val="header"/>
    <w:basedOn w:val="Normal"/>
    <w:link w:val="HeaderChar"/>
    <w:uiPriority w:val="99"/>
    <w:unhideWhenUsed/>
    <w:rsid w:val="00184C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4C2B"/>
  </w:style>
  <w:style w:type="paragraph" w:styleId="BalloonText">
    <w:name w:val="Balloon Text"/>
    <w:basedOn w:val="Normal"/>
    <w:link w:val="BalloonTextChar"/>
    <w:uiPriority w:val="99"/>
    <w:semiHidden/>
    <w:unhideWhenUsed/>
    <w:rsid w:val="00DE61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6128"/>
    <w:rPr>
      <w:rFonts w:ascii="Segoe UI" w:hAnsi="Segoe UI" w:cs="Segoe UI"/>
      <w:sz w:val="18"/>
      <w:szCs w:val="18"/>
    </w:rPr>
  </w:style>
  <w:style w:type="character" w:customStyle="1" w:styleId="Heading3Char">
    <w:name w:val="Heading 3 Char"/>
    <w:basedOn w:val="DefaultParagraphFont"/>
    <w:link w:val="Heading3"/>
    <w:uiPriority w:val="9"/>
    <w:rsid w:val="00F37606"/>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10</Pages>
  <Words>1614</Words>
  <Characters>9205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Range High School</Company>
  <LinksUpToDate>false</LinksUpToDate>
  <CharactersWithSpaces>10798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Dolly</dc:creator>
  <cp:keywords/>
  <dc:description/>
  <cp:lastModifiedBy>Tom Dolly</cp:lastModifiedBy>
  <cp:revision>5</cp:revision>
  <cp:lastPrinted>2021-06-18T11:03:00Z</cp:lastPrinted>
  <dcterms:created xsi:type="dcterms:W3CDTF">2021-06-22T09:37:00Z</dcterms:created>
  <dcterms:modified xsi:type="dcterms:W3CDTF">2021-11-23T13:40:00Z</dcterms:modified>
</cp:coreProperties>
</file>